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9EF15" w14:textId="77777777" w:rsidR="00CA16DC" w:rsidRPr="00F07121" w:rsidRDefault="00CA16DC" w:rsidP="00F07121">
      <w:pPr>
        <w:pStyle w:val="PolicyTitleBox"/>
        <w:shd w:val="clear" w:color="000000" w:fill="auto"/>
      </w:pPr>
      <w:r w:rsidRPr="00F07121">
        <w:t>OSBA Model Sample Policy</w:t>
      </w:r>
    </w:p>
    <w:p w14:paraId="2E05DADC" w14:textId="77777777" w:rsidR="00CC7D46" w:rsidRPr="00F07121" w:rsidRDefault="00CC7D46" w:rsidP="00F07121">
      <w:pPr>
        <w:shd w:val="clear" w:color="000000" w:fill="auto"/>
      </w:pPr>
    </w:p>
    <w:p w14:paraId="31AA08C8" w14:textId="2FBBCEBA" w:rsidR="001E1260" w:rsidRPr="00F07121" w:rsidRDefault="001E1260" w:rsidP="00F07121">
      <w:pPr>
        <w:pStyle w:val="PolicyCode"/>
        <w:shd w:val="clear" w:color="000000" w:fill="auto"/>
      </w:pPr>
      <w:r w:rsidRPr="00F07121">
        <w:t>Code:</w:t>
      </w:r>
      <w:r w:rsidRPr="00F07121">
        <w:tab/>
      </w:r>
      <w:r w:rsidR="00CB067E" w:rsidRPr="00F07121">
        <w:t>GBA</w:t>
      </w:r>
    </w:p>
    <w:p w14:paraId="631FB8D8" w14:textId="77777777" w:rsidR="001E1260" w:rsidRPr="00F07121" w:rsidRDefault="001E1260" w:rsidP="00F07121">
      <w:pPr>
        <w:pStyle w:val="PolicyCode"/>
        <w:shd w:val="clear" w:color="000000" w:fill="auto"/>
      </w:pPr>
      <w:r w:rsidRPr="00F07121">
        <w:t>Adopted:</w:t>
      </w:r>
      <w:r w:rsidRPr="00F07121">
        <w:tab/>
      </w:r>
    </w:p>
    <w:p w14:paraId="53032EA7" w14:textId="77777777" w:rsidR="001E1260" w:rsidRPr="00F07121" w:rsidRDefault="001E1260" w:rsidP="00F07121">
      <w:pPr>
        <w:shd w:val="clear" w:color="000000" w:fill="auto"/>
      </w:pPr>
    </w:p>
    <w:p w14:paraId="3C21A3FF" w14:textId="77777777" w:rsidR="00EF573E" w:rsidRPr="00F07121" w:rsidRDefault="00CB067E" w:rsidP="00F07121">
      <w:pPr>
        <w:pStyle w:val="PolicyTitle"/>
        <w:shd w:val="clear" w:color="000000" w:fill="auto"/>
      </w:pPr>
      <w:r w:rsidRPr="00F07121">
        <w:t>Equal Employment Opportunity</w:t>
      </w:r>
    </w:p>
    <w:p w14:paraId="719D339E" w14:textId="77777777" w:rsidR="00EF573E" w:rsidRPr="00F07121" w:rsidRDefault="00EF573E" w:rsidP="00F07121">
      <w:pPr>
        <w:shd w:val="clear" w:color="000000" w:fill="auto"/>
      </w:pPr>
    </w:p>
    <w:p w14:paraId="25F532C3" w14:textId="3C346248" w:rsidR="00BA109B" w:rsidRPr="00F07121" w:rsidRDefault="00CB067E" w:rsidP="00F07121">
      <w:pPr>
        <w:pStyle w:val="PolicyBodyText"/>
        <w:shd w:val="clear" w:color="000000" w:fill="auto"/>
      </w:pPr>
      <w:r w:rsidRPr="00F07121">
        <w:t>Equal employment opportunity and treatment shall be practiced by the district regardless of race</w:t>
      </w:r>
      <w:r w:rsidR="007A0FD8" w:rsidRPr="007A0FD8">
        <w:rPr>
          <w:rStyle w:val="FootnoteReference"/>
          <w:highlight w:val="darkGray"/>
        </w:rPr>
        <w:footnoteReference w:id="1"/>
      </w:r>
      <w:r w:rsidRPr="00F07121">
        <w:t>, color,</w:t>
      </w:r>
      <w:r w:rsidR="007E6D3F" w:rsidRPr="00F07121">
        <w:t xml:space="preserve"> </w:t>
      </w:r>
      <w:r w:rsidRPr="00F07121">
        <w:t>religion, sex, sexual orientation</w:t>
      </w:r>
      <w:del w:id="0" w:author="Leslie Fisher" w:date="2021-07-15T09:53:00Z">
        <w:r w:rsidRPr="00F07121" w:rsidDel="00FB1B1D">
          <w:rPr>
            <w:rStyle w:val="FootnoteReference"/>
          </w:rPr>
          <w:footnoteReference w:id="2"/>
        </w:r>
      </w:del>
      <w:r w:rsidRPr="00F07121">
        <w:t xml:space="preserve">, </w:t>
      </w:r>
      <w:r w:rsidR="00FB1B1D" w:rsidRPr="007F71E7">
        <w:rPr>
          <w:highlight w:val="darkGray"/>
        </w:rPr>
        <w:t xml:space="preserve">gender identity, </w:t>
      </w:r>
      <w:r w:rsidRPr="00F07121">
        <w:t>national origin, marital status,</w:t>
      </w:r>
      <w:r w:rsidR="00AA7F59" w:rsidRPr="00F07121">
        <w:t xml:space="preserve"> </w:t>
      </w:r>
      <w:bookmarkStart w:id="3" w:name="_Hlk22280688"/>
      <w:r w:rsidR="00B66831" w:rsidRPr="00F07121">
        <w:t>pregnancy, childbirth or a related medical condition</w:t>
      </w:r>
      <w:r w:rsidR="00D97F99" w:rsidRPr="00F07121">
        <w:rPr>
          <w:rStyle w:val="FootnoteReference"/>
        </w:rPr>
        <w:footnoteReference w:id="3"/>
      </w:r>
      <w:r w:rsidR="00B66831" w:rsidRPr="00F07121">
        <w:t>,</w:t>
      </w:r>
      <w:bookmarkEnd w:id="3"/>
      <w:r w:rsidRPr="00F07121">
        <w:t xml:space="preserve"> age, veterans’ status</w:t>
      </w:r>
      <w:r w:rsidRPr="00F07121">
        <w:rPr>
          <w:rStyle w:val="FootnoteReference"/>
        </w:rPr>
        <w:footnoteReference w:id="4"/>
      </w:r>
      <w:r w:rsidRPr="00F07121">
        <w:t xml:space="preserve">, </w:t>
      </w:r>
      <w:bookmarkStart w:id="4" w:name="_Hlk22280706"/>
      <w:r w:rsidR="00B4406E" w:rsidRPr="00F07121">
        <w:t xml:space="preserve">service in uniformed service, </w:t>
      </w:r>
      <w:bookmarkEnd w:id="4"/>
      <w:r w:rsidRPr="00F07121">
        <w:t>familial status, genetic information</w:t>
      </w:r>
      <w:r w:rsidR="00AB5C2E" w:rsidRPr="00F07121">
        <w:t>, an individual’s juvenile record that has been expunged,</w:t>
      </w:r>
      <w:r w:rsidRPr="00F07121">
        <w:t xml:space="preserve"> and disability</w:t>
      </w:r>
      <w:bookmarkStart w:id="5" w:name="_Hlk22280727"/>
      <w:r w:rsidR="002D0B87" w:rsidRPr="00F07121">
        <w:rPr>
          <w:rStyle w:val="FootnoteReference"/>
        </w:rPr>
        <w:footnoteReference w:id="5"/>
      </w:r>
      <w:bookmarkEnd w:id="5"/>
      <w:r w:rsidRPr="00F07121">
        <w:t xml:space="preserve"> if the employee, with or without reasonable accommodation, is able to perform the essential functions of the position.</w:t>
      </w:r>
    </w:p>
    <w:p w14:paraId="54EC4609" w14:textId="77777777" w:rsidR="00BA109B" w:rsidRPr="00F07121" w:rsidRDefault="00BA109B" w:rsidP="00F07121">
      <w:pPr>
        <w:pStyle w:val="PolicyBodyText"/>
        <w:shd w:val="clear" w:color="000000" w:fill="auto"/>
      </w:pPr>
    </w:p>
    <w:p w14:paraId="25A8CB1F" w14:textId="5F94256E" w:rsidR="00CB067E" w:rsidRPr="00F07121" w:rsidRDefault="00CB067E" w:rsidP="00F07121">
      <w:pPr>
        <w:pStyle w:val="PolicyBodyText"/>
        <w:shd w:val="clear" w:color="000000" w:fill="auto"/>
      </w:pPr>
      <w:r w:rsidRPr="00F07121">
        <w:t>The superintendent will appoint an employee to serve as the officer in charge of compliance with the Americans with Disabilities Act</w:t>
      </w:r>
      <w:del w:id="6" w:author="Leslie Fisher" w:date="2021-07-15T09:53:00Z">
        <w:r w:rsidRPr="00F07121" w:rsidDel="00FB1B1D">
          <w:delText xml:space="preserve"> of 1990</w:delText>
        </w:r>
      </w:del>
      <w:del w:id="7" w:author="Leslie Fisher" w:date="2021-09-29T11:52:00Z">
        <w:r w:rsidRPr="00F07121" w:rsidDel="00B71215">
          <w:delText>,</w:delText>
        </w:r>
      </w:del>
      <w:r w:rsidR="00B71215" w:rsidRPr="0093520B">
        <w:rPr>
          <w:highlight w:val="darkGray"/>
        </w:rPr>
        <w:t xml:space="preserve"> and</w:t>
      </w:r>
      <w:r w:rsidRPr="00F07121">
        <w:t xml:space="preserve"> the Americans with Disabilities Act Amendments Act </w:t>
      </w:r>
      <w:del w:id="8" w:author="Leslie Fisher" w:date="2021-07-15T09:53:00Z">
        <w:r w:rsidRPr="00F07121" w:rsidDel="00FB1B1D">
          <w:delText xml:space="preserve">of 2008 </w:delText>
        </w:r>
      </w:del>
      <w:r w:rsidRPr="00F07121">
        <w:t>(ADA), and Section 504 of the Rehabilitation Act. The superintendent will also designate a Title IX coordinator to comply with the requirements of Title IX of the Education Amendments</w:t>
      </w:r>
      <w:del w:id="9" w:author="Leslie Fisher" w:date="2021-07-15T09:53:00Z">
        <w:r w:rsidRPr="00F07121" w:rsidDel="00FB1B1D">
          <w:delText xml:space="preserve"> of 1972</w:delText>
        </w:r>
      </w:del>
      <w:r w:rsidRPr="00F07121">
        <w:t>. The Title IX coordinator will investigate complaints communicated to the district alleging noncompliance with Title IX. The name, address and telephone number of the Title IX coordinator will be provided to all students and employees.</w:t>
      </w:r>
    </w:p>
    <w:p w14:paraId="57853868" w14:textId="1D90DC6C" w:rsidR="00CB067E" w:rsidRPr="00F07121" w:rsidRDefault="00CB067E" w:rsidP="00F07121">
      <w:pPr>
        <w:pStyle w:val="PolicyBodyText"/>
        <w:shd w:val="clear" w:color="000000" w:fill="auto"/>
      </w:pPr>
    </w:p>
    <w:p w14:paraId="2CD1C6F3" w14:textId="77777777" w:rsidR="00CB067E" w:rsidRPr="00F07121" w:rsidRDefault="00CB067E" w:rsidP="00F07121">
      <w:pPr>
        <w:pStyle w:val="PolicyBodyText"/>
        <w:shd w:val="clear" w:color="000000" w:fill="auto"/>
      </w:pPr>
      <w:r w:rsidRPr="00F07121">
        <w:t>The superintendent will develop other specific recruiting, interviewing and evaluation procedures as are necessary to implement this policy.</w:t>
      </w:r>
    </w:p>
    <w:p w14:paraId="06CA119A" w14:textId="77777777" w:rsidR="00CB067E" w:rsidRPr="00F07121" w:rsidRDefault="00CB067E" w:rsidP="00F07121">
      <w:pPr>
        <w:pStyle w:val="PolicyBodyText"/>
        <w:shd w:val="clear" w:color="000000" w:fill="auto"/>
      </w:pPr>
    </w:p>
    <w:p w14:paraId="1111F2B3" w14:textId="77777777" w:rsidR="00CB067E" w:rsidRPr="00F07121" w:rsidRDefault="00CB067E" w:rsidP="00F07121">
      <w:pPr>
        <w:pStyle w:val="PolicyBodyText"/>
        <w:shd w:val="clear" w:color="000000" w:fill="auto"/>
      </w:pPr>
      <w:r w:rsidRPr="00F07121">
        <w:t>END OF POLICY</w:t>
      </w:r>
    </w:p>
    <w:p w14:paraId="789887E1" w14:textId="77777777" w:rsidR="00CB067E" w:rsidRPr="00F07121" w:rsidRDefault="00CB067E" w:rsidP="00F07121">
      <w:pPr>
        <w:pStyle w:val="PolicyLine"/>
        <w:shd w:val="clear" w:color="000000" w:fill="auto"/>
      </w:pPr>
    </w:p>
    <w:p w14:paraId="0EA1AE30" w14:textId="77777777" w:rsidR="00CB067E" w:rsidRPr="00F07121" w:rsidRDefault="00CB067E" w:rsidP="00791FEA">
      <w:pPr>
        <w:pStyle w:val="PolicyReferencesHeading"/>
        <w:spacing w:after="0"/>
      </w:pPr>
      <w:r w:rsidRPr="00F07121">
        <w:t>Legal Reference(s):</w:t>
      </w:r>
    </w:p>
    <w:p w14:paraId="6BA42D32" w14:textId="77777777" w:rsidR="00CB067E" w:rsidRPr="00F07121" w:rsidRDefault="00CB067E" w:rsidP="00F07121">
      <w:pPr>
        <w:pStyle w:val="PolicyReferences"/>
        <w:shd w:val="clear" w:color="000000" w:fill="auto"/>
      </w:pPr>
    </w:p>
    <w:p w14:paraId="1466B521" w14:textId="77777777" w:rsidR="00CB067E" w:rsidRPr="00F07121" w:rsidRDefault="00CB067E" w:rsidP="00F07121">
      <w:pPr>
        <w:pStyle w:val="PolicyReferences"/>
        <w:shd w:val="clear" w:color="000000" w:fill="auto"/>
        <w:sectPr w:rsidR="00CB067E" w:rsidRPr="00F07121" w:rsidSect="00CB067E">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12" w:name="Laws"/>
    <w:bookmarkStart w:id="13" w:name="ORS"/>
    <w:bookmarkEnd w:id="12"/>
    <w:bookmarkEnd w:id="13"/>
    <w:p w14:paraId="433F5E12" w14:textId="23C35FA8" w:rsidR="00CB067E" w:rsidRDefault="00AD7A35" w:rsidP="00F07121">
      <w:pPr>
        <w:pStyle w:val="PolicyReferences"/>
        <w:shd w:val="clear" w:color="000000" w:fill="auto"/>
      </w:pPr>
      <w:r>
        <w:rPr>
          <w:rStyle w:val="SYSHYPERTEXT"/>
        </w:rPr>
        <w:fldChar w:fldCharType="begin"/>
      </w:r>
      <w:r>
        <w:rPr>
          <w:rStyle w:val="SYSHYPERTEXT"/>
        </w:rPr>
        <w:instrText xml:space="preserve"> HYPERLINK "http://policy.osba.org/orsredir.asp?ors=ors-174" </w:instrText>
      </w:r>
      <w:r>
        <w:rPr>
          <w:rStyle w:val="SYSHYPERTEXT"/>
        </w:rPr>
        <w:fldChar w:fldCharType="separate"/>
      </w:r>
      <w:r>
        <w:rPr>
          <w:rStyle w:val="Hyperlink"/>
        </w:rPr>
        <w:t>ORS 174</w:t>
      </w:r>
      <w:r>
        <w:rPr>
          <w:rStyle w:val="SYSHYPERTEXT"/>
        </w:rPr>
        <w:fldChar w:fldCharType="end"/>
      </w:r>
      <w:r w:rsidR="00CB067E" w:rsidRPr="00F07121">
        <w:t>.100</w:t>
      </w:r>
    </w:p>
    <w:p w14:paraId="0ACC74C5" w14:textId="12C76DD1" w:rsidR="00FD5C6A" w:rsidRPr="00F07121" w:rsidRDefault="00791FEA" w:rsidP="00F07121">
      <w:pPr>
        <w:pStyle w:val="PolicyReferences"/>
        <w:shd w:val="clear" w:color="000000" w:fill="auto"/>
      </w:pPr>
      <w:hyperlink r:id="rId14" w:history="1">
        <w:r w:rsidR="00AD7A35">
          <w:rPr>
            <w:rStyle w:val="Hyperlink"/>
          </w:rPr>
          <w:t>ORS 243</w:t>
        </w:r>
      </w:hyperlink>
      <w:r w:rsidR="00FD5C6A">
        <w:t>.317 – 243.323</w:t>
      </w:r>
    </w:p>
    <w:p w14:paraId="45291D4A" w14:textId="61310DE2" w:rsidR="00CB067E" w:rsidRPr="00F07121" w:rsidRDefault="00791FEA" w:rsidP="00F07121">
      <w:pPr>
        <w:pStyle w:val="PolicyReferences"/>
        <w:shd w:val="clear" w:color="000000" w:fill="auto"/>
      </w:pPr>
      <w:hyperlink r:id="rId15" w:history="1">
        <w:r w:rsidR="00AD7A35">
          <w:rPr>
            <w:rStyle w:val="Hyperlink"/>
          </w:rPr>
          <w:t>ORS 326</w:t>
        </w:r>
      </w:hyperlink>
      <w:r w:rsidR="00CB067E" w:rsidRPr="00F07121">
        <w:t>.051</w:t>
      </w:r>
    </w:p>
    <w:p w14:paraId="55557D78" w14:textId="0C53DCB9" w:rsidR="00CB067E" w:rsidRPr="00F07121" w:rsidRDefault="00791FEA" w:rsidP="00F07121">
      <w:pPr>
        <w:pStyle w:val="PolicyReferences"/>
        <w:shd w:val="clear" w:color="000000" w:fill="auto"/>
      </w:pPr>
      <w:hyperlink r:id="rId16" w:history="1">
        <w:r w:rsidR="00AD7A35">
          <w:rPr>
            <w:rStyle w:val="Hyperlink"/>
          </w:rPr>
          <w:t>ORS 332</w:t>
        </w:r>
      </w:hyperlink>
      <w:r w:rsidR="00CB067E" w:rsidRPr="00F07121">
        <w:t>.505</w:t>
      </w:r>
    </w:p>
    <w:p w14:paraId="4BBB396A" w14:textId="43E0576C" w:rsidR="00CB067E" w:rsidRPr="00F07121" w:rsidRDefault="00791FEA" w:rsidP="00F07121">
      <w:pPr>
        <w:pStyle w:val="PolicyReferences"/>
        <w:shd w:val="clear" w:color="000000" w:fill="auto"/>
      </w:pPr>
      <w:hyperlink r:id="rId17" w:history="1">
        <w:r w:rsidR="00AD7A35">
          <w:rPr>
            <w:rStyle w:val="Hyperlink"/>
          </w:rPr>
          <w:t>ORS 342</w:t>
        </w:r>
      </w:hyperlink>
      <w:r w:rsidR="00CB067E" w:rsidRPr="00F07121">
        <w:t>.934</w:t>
      </w:r>
    </w:p>
    <w:p w14:paraId="689662A9" w14:textId="1F7B9AC7" w:rsidR="00CB067E" w:rsidRPr="00F07121" w:rsidRDefault="00791FEA" w:rsidP="00F07121">
      <w:pPr>
        <w:pStyle w:val="PolicyReferences"/>
        <w:shd w:val="clear" w:color="000000" w:fill="auto"/>
      </w:pPr>
      <w:hyperlink r:id="rId18" w:history="1">
        <w:r w:rsidR="00AD7A35">
          <w:rPr>
            <w:rStyle w:val="Hyperlink"/>
          </w:rPr>
          <w:t>ORS 408</w:t>
        </w:r>
      </w:hyperlink>
      <w:r w:rsidR="00CB067E" w:rsidRPr="00F07121">
        <w:t>.225</w:t>
      </w:r>
    </w:p>
    <w:p w14:paraId="6C53CE59" w14:textId="612B8FD3" w:rsidR="00CB067E" w:rsidRPr="00F07121" w:rsidRDefault="00791FEA" w:rsidP="00F07121">
      <w:pPr>
        <w:pStyle w:val="PolicyReferences"/>
        <w:shd w:val="clear" w:color="000000" w:fill="auto"/>
      </w:pPr>
      <w:hyperlink r:id="rId19" w:history="1">
        <w:r w:rsidR="00AD7A35">
          <w:rPr>
            <w:rStyle w:val="Hyperlink"/>
          </w:rPr>
          <w:t>ORS 408</w:t>
        </w:r>
      </w:hyperlink>
      <w:r w:rsidR="00CB067E" w:rsidRPr="00F07121">
        <w:t>.230</w:t>
      </w:r>
    </w:p>
    <w:p w14:paraId="66202E2E" w14:textId="2CABF453" w:rsidR="00CB067E" w:rsidRPr="00F07121" w:rsidRDefault="00791FEA" w:rsidP="00F07121">
      <w:pPr>
        <w:pStyle w:val="PolicyReferences"/>
        <w:shd w:val="clear" w:color="000000" w:fill="auto"/>
      </w:pPr>
      <w:hyperlink r:id="rId20" w:history="1">
        <w:r w:rsidR="00AD7A35">
          <w:rPr>
            <w:rStyle w:val="Hyperlink"/>
          </w:rPr>
          <w:t>ORS 408</w:t>
        </w:r>
      </w:hyperlink>
      <w:r w:rsidR="00CB067E" w:rsidRPr="00F07121">
        <w:t>.235</w:t>
      </w:r>
    </w:p>
    <w:p w14:paraId="47578D68" w14:textId="650B44F6" w:rsidR="006269D4" w:rsidRPr="00F07121" w:rsidRDefault="00791FEA" w:rsidP="00F07121">
      <w:pPr>
        <w:pStyle w:val="PolicyReferences"/>
        <w:shd w:val="clear" w:color="000000" w:fill="auto"/>
      </w:pPr>
      <w:hyperlink r:id="rId21" w:history="1">
        <w:r w:rsidR="00AD7A35">
          <w:rPr>
            <w:rStyle w:val="Hyperlink"/>
          </w:rPr>
          <w:t>ORS 652</w:t>
        </w:r>
      </w:hyperlink>
      <w:r w:rsidR="006269D4" w:rsidRPr="00F07121">
        <w:t>.210 - 652.220</w:t>
      </w:r>
    </w:p>
    <w:p w14:paraId="7B9892AB" w14:textId="7A898E2D" w:rsidR="00CB067E" w:rsidRPr="00F07121" w:rsidRDefault="00791FEA" w:rsidP="00F07121">
      <w:pPr>
        <w:pStyle w:val="PolicyReferences"/>
        <w:shd w:val="clear" w:color="000000" w:fill="auto"/>
      </w:pPr>
      <w:hyperlink r:id="rId22" w:history="1">
        <w:r w:rsidR="00AD7A35">
          <w:rPr>
            <w:rStyle w:val="Hyperlink"/>
          </w:rPr>
          <w:t>ORS 659</w:t>
        </w:r>
      </w:hyperlink>
      <w:r w:rsidR="00CB067E" w:rsidRPr="00F07121">
        <w:t>.850</w:t>
      </w:r>
    </w:p>
    <w:p w14:paraId="273FA2E8" w14:textId="6F23B18A" w:rsidR="00CB067E" w:rsidRPr="00F07121" w:rsidDel="00AA1904" w:rsidRDefault="00AA1904" w:rsidP="00F07121">
      <w:pPr>
        <w:pStyle w:val="PolicyReferences"/>
        <w:shd w:val="clear" w:color="000000" w:fill="auto"/>
        <w:rPr>
          <w:del w:id="14" w:author="Leslie Fisher" w:date="2021-07-15T09:56:00Z"/>
        </w:rPr>
      </w:pPr>
      <w:del w:id="15" w:author="Leslie Fisher" w:date="2021-07-15T09:56:00Z">
        <w:r w:rsidDel="00AA1904">
          <w:fldChar w:fldCharType="begin"/>
        </w:r>
        <w:r w:rsidDel="00AA1904">
          <w:delInstrText xml:space="preserve"> HYPERLINK "http://policy.osba.org/orsredir.asp?ors=ors-659" </w:delInstrText>
        </w:r>
        <w:r w:rsidDel="00AA1904">
          <w:fldChar w:fldCharType="separate"/>
        </w:r>
        <w:r w:rsidR="00AD7A35" w:rsidDel="00AA1904">
          <w:rPr>
            <w:rStyle w:val="Hyperlink"/>
          </w:rPr>
          <w:delText>ORS 659</w:delText>
        </w:r>
        <w:r w:rsidDel="00AA1904">
          <w:rPr>
            <w:rStyle w:val="Hyperlink"/>
          </w:rPr>
          <w:fldChar w:fldCharType="end"/>
        </w:r>
        <w:r w:rsidR="00CB067E" w:rsidRPr="00F07121" w:rsidDel="00AA1904">
          <w:delText>.870</w:delText>
        </w:r>
      </w:del>
    </w:p>
    <w:p w14:paraId="4F5970A0" w14:textId="681F312D" w:rsidR="00CB067E" w:rsidRPr="00F07121" w:rsidRDefault="00791FEA" w:rsidP="00F07121">
      <w:pPr>
        <w:pStyle w:val="PolicyReferences"/>
        <w:shd w:val="clear" w:color="000000" w:fill="auto"/>
      </w:pPr>
      <w:hyperlink r:id="rId23" w:history="1">
        <w:r w:rsidR="00AD7A35">
          <w:rPr>
            <w:rStyle w:val="Hyperlink"/>
          </w:rPr>
          <w:t>ORS 659A</w:t>
        </w:r>
      </w:hyperlink>
      <w:r w:rsidR="00CB067E" w:rsidRPr="00F07121">
        <w:t>.003</w:t>
      </w:r>
    </w:p>
    <w:p w14:paraId="35429BDE" w14:textId="003D066F" w:rsidR="00CB067E" w:rsidRPr="00F07121" w:rsidRDefault="00791FEA" w:rsidP="00F07121">
      <w:pPr>
        <w:pStyle w:val="PolicyReferences"/>
        <w:shd w:val="clear" w:color="000000" w:fill="auto"/>
      </w:pPr>
      <w:hyperlink r:id="rId24" w:history="1">
        <w:r w:rsidR="00AD7A35">
          <w:rPr>
            <w:rStyle w:val="Hyperlink"/>
          </w:rPr>
          <w:t>ORS 659A</w:t>
        </w:r>
      </w:hyperlink>
      <w:r w:rsidR="00CB067E" w:rsidRPr="00F07121">
        <w:t>.006</w:t>
      </w:r>
    </w:p>
    <w:p w14:paraId="57626325" w14:textId="403255B0" w:rsidR="00CB067E" w:rsidRPr="00F07121" w:rsidRDefault="00791FEA" w:rsidP="00F07121">
      <w:pPr>
        <w:pStyle w:val="PolicyReferences"/>
        <w:shd w:val="clear" w:color="000000" w:fill="auto"/>
      </w:pPr>
      <w:hyperlink r:id="rId25" w:history="1">
        <w:r w:rsidR="00AD7A35">
          <w:rPr>
            <w:rStyle w:val="Hyperlink"/>
          </w:rPr>
          <w:t>ORS 659A</w:t>
        </w:r>
      </w:hyperlink>
      <w:r w:rsidR="00CB067E" w:rsidRPr="00F07121">
        <w:t>.009</w:t>
      </w:r>
    </w:p>
    <w:p w14:paraId="748277ED" w14:textId="64E2E9A9" w:rsidR="00CB067E" w:rsidRPr="00F07121" w:rsidRDefault="00791FEA" w:rsidP="00F07121">
      <w:pPr>
        <w:pStyle w:val="PolicyReferences"/>
        <w:shd w:val="clear" w:color="000000" w:fill="auto"/>
      </w:pPr>
      <w:hyperlink r:id="rId26" w:history="1">
        <w:r w:rsidR="00AD7A35">
          <w:rPr>
            <w:rStyle w:val="Hyperlink"/>
          </w:rPr>
          <w:t>ORS 659A</w:t>
        </w:r>
      </w:hyperlink>
      <w:r w:rsidR="00CB067E" w:rsidRPr="00F07121">
        <w:t>.029</w:t>
      </w:r>
    </w:p>
    <w:p w14:paraId="4C3FB81B" w14:textId="605D2085" w:rsidR="00CB067E" w:rsidRPr="00F07121" w:rsidRDefault="00791FEA" w:rsidP="00F07121">
      <w:pPr>
        <w:pStyle w:val="PolicyReferences"/>
        <w:shd w:val="clear" w:color="000000" w:fill="auto"/>
      </w:pPr>
      <w:hyperlink r:id="rId27" w:history="1">
        <w:r w:rsidR="00AD7A35">
          <w:rPr>
            <w:rStyle w:val="Hyperlink"/>
          </w:rPr>
          <w:t>ORS 659A</w:t>
        </w:r>
      </w:hyperlink>
      <w:r w:rsidR="00CB067E" w:rsidRPr="00F07121">
        <w:t>.030</w:t>
      </w:r>
    </w:p>
    <w:p w14:paraId="4EBD9608" w14:textId="74FBC6D0" w:rsidR="005406E8" w:rsidRPr="00F07121" w:rsidRDefault="00791FEA" w:rsidP="00F07121">
      <w:pPr>
        <w:pStyle w:val="PolicyReferences"/>
        <w:shd w:val="clear" w:color="000000" w:fill="auto"/>
      </w:pPr>
      <w:hyperlink r:id="rId28" w:history="1">
        <w:r w:rsidR="00AD7A35">
          <w:rPr>
            <w:rStyle w:val="Hyperlink"/>
          </w:rPr>
          <w:t>ORS 659A</w:t>
        </w:r>
      </w:hyperlink>
      <w:r w:rsidR="00523C86" w:rsidRPr="00F07121">
        <w:t>.040</w:t>
      </w:r>
    </w:p>
    <w:bookmarkStart w:id="16" w:name="_Hlk23858585"/>
    <w:p w14:paraId="2DACFDEC" w14:textId="6C443244" w:rsidR="00DA7DAD" w:rsidRPr="00F07121" w:rsidRDefault="00AD7A35" w:rsidP="00F07121">
      <w:pPr>
        <w:pStyle w:val="PolicyReferences"/>
        <w:shd w:val="clear" w:color="000000" w:fill="auto"/>
      </w:pPr>
      <w:r>
        <w:fldChar w:fldCharType="begin"/>
      </w:r>
      <w:r>
        <w:instrText xml:space="preserve"> HYPERLINK "http://policy.osba.org/orsredir.asp?ors=ors-659a" </w:instrText>
      </w:r>
      <w:r>
        <w:fldChar w:fldCharType="separate"/>
      </w:r>
      <w:r>
        <w:rPr>
          <w:rStyle w:val="Hyperlink"/>
        </w:rPr>
        <w:t>ORS 659A</w:t>
      </w:r>
      <w:r>
        <w:fldChar w:fldCharType="end"/>
      </w:r>
      <w:r w:rsidR="00A67A74" w:rsidRPr="00F07121">
        <w:t>.082</w:t>
      </w:r>
    </w:p>
    <w:bookmarkEnd w:id="16"/>
    <w:p w14:paraId="4386CB23" w14:textId="62A88063" w:rsidR="00CB067E" w:rsidRPr="00F07121" w:rsidRDefault="00AD7A35" w:rsidP="00F07121">
      <w:pPr>
        <w:pStyle w:val="PolicyReferences"/>
        <w:shd w:val="clear" w:color="000000" w:fill="auto"/>
      </w:pPr>
      <w:r>
        <w:lastRenderedPageBreak/>
        <w:fldChar w:fldCharType="begin"/>
      </w:r>
      <w:r>
        <w:instrText xml:space="preserve"> HYPERLINK "http://policy.osba.org/orsredir.asp?ors=ors-659a" </w:instrText>
      </w:r>
      <w:r>
        <w:fldChar w:fldCharType="separate"/>
      </w:r>
      <w:r>
        <w:rPr>
          <w:rStyle w:val="Hyperlink"/>
        </w:rPr>
        <w:t>ORS 659A</w:t>
      </w:r>
      <w:r>
        <w:fldChar w:fldCharType="end"/>
      </w:r>
      <w:r w:rsidR="00CB067E" w:rsidRPr="00F07121">
        <w:t>.109</w:t>
      </w:r>
    </w:p>
    <w:p w14:paraId="40AAAA96" w14:textId="276D939C" w:rsidR="00923DF3" w:rsidRDefault="00791FEA" w:rsidP="00F07121">
      <w:pPr>
        <w:pStyle w:val="PolicyReferences"/>
        <w:shd w:val="clear" w:color="000000" w:fill="auto"/>
      </w:pPr>
      <w:hyperlink r:id="rId29" w:history="1">
        <w:r w:rsidR="00AD7A35">
          <w:rPr>
            <w:rStyle w:val="Hyperlink"/>
          </w:rPr>
          <w:t>ORS 659A</w:t>
        </w:r>
      </w:hyperlink>
      <w:r w:rsidR="00923DF3" w:rsidRPr="00F07121">
        <w:t>.112</w:t>
      </w:r>
    </w:p>
    <w:p w14:paraId="47A8BC37" w14:textId="0A60B8B4" w:rsidR="00416382" w:rsidRPr="00F07121" w:rsidRDefault="00791FEA" w:rsidP="00F07121">
      <w:pPr>
        <w:pStyle w:val="PolicyReferences"/>
        <w:shd w:val="clear" w:color="000000" w:fill="auto"/>
      </w:pPr>
      <w:hyperlink r:id="rId30" w:history="1">
        <w:r w:rsidR="00AD7A35">
          <w:rPr>
            <w:rStyle w:val="Hyperlink"/>
          </w:rPr>
          <w:t>ORS 659A</w:t>
        </w:r>
      </w:hyperlink>
      <w:r w:rsidR="002F2FA0">
        <w:t>.147</w:t>
      </w:r>
    </w:p>
    <w:p w14:paraId="55730457" w14:textId="7B1CCD1D" w:rsidR="00CB067E" w:rsidRPr="00F07121" w:rsidRDefault="00791FEA" w:rsidP="00F07121">
      <w:pPr>
        <w:pStyle w:val="PolicyReferences"/>
        <w:shd w:val="clear" w:color="000000" w:fill="auto"/>
      </w:pPr>
      <w:hyperlink r:id="rId31" w:history="1">
        <w:r w:rsidR="00AD7A35">
          <w:rPr>
            <w:rStyle w:val="Hyperlink"/>
          </w:rPr>
          <w:t>ORS 659A</w:t>
        </w:r>
      </w:hyperlink>
      <w:r w:rsidR="00CB067E" w:rsidRPr="00F07121">
        <w:t>.233</w:t>
      </w:r>
    </w:p>
    <w:p w14:paraId="387A5BA4" w14:textId="2776A66B" w:rsidR="00CB067E" w:rsidRPr="00F07121" w:rsidRDefault="00791FEA" w:rsidP="00F07121">
      <w:pPr>
        <w:pStyle w:val="PolicyReferences"/>
        <w:shd w:val="clear" w:color="000000" w:fill="auto"/>
      </w:pPr>
      <w:hyperlink r:id="rId32" w:history="1">
        <w:r w:rsidR="00AD7A35">
          <w:rPr>
            <w:rStyle w:val="Hyperlink"/>
          </w:rPr>
          <w:t>ORS 659A</w:t>
        </w:r>
      </w:hyperlink>
      <w:r w:rsidR="00CB067E" w:rsidRPr="00F07121">
        <w:t>.236</w:t>
      </w:r>
    </w:p>
    <w:p w14:paraId="491A7AD8" w14:textId="312A6A80" w:rsidR="00CB067E" w:rsidRPr="00F07121" w:rsidRDefault="00791FEA" w:rsidP="00F07121">
      <w:pPr>
        <w:pStyle w:val="PolicyReferences"/>
        <w:shd w:val="clear" w:color="000000" w:fill="auto"/>
      </w:pPr>
      <w:hyperlink r:id="rId33" w:history="1">
        <w:r w:rsidR="00AD7A35">
          <w:rPr>
            <w:rStyle w:val="Hyperlink"/>
          </w:rPr>
          <w:t>ORS 659A</w:t>
        </w:r>
      </w:hyperlink>
      <w:r w:rsidR="00CB067E" w:rsidRPr="00F07121">
        <w:t>.309</w:t>
      </w:r>
    </w:p>
    <w:p w14:paraId="17E78943" w14:textId="20EB2F8A" w:rsidR="00CB067E" w:rsidRPr="00F07121" w:rsidRDefault="00791FEA" w:rsidP="00F07121">
      <w:pPr>
        <w:pStyle w:val="PolicyReferences"/>
        <w:shd w:val="clear" w:color="000000" w:fill="auto"/>
      </w:pPr>
      <w:hyperlink r:id="rId34" w:history="1">
        <w:r w:rsidR="00AD7A35">
          <w:rPr>
            <w:rStyle w:val="Hyperlink"/>
          </w:rPr>
          <w:t>ORS 659A</w:t>
        </w:r>
      </w:hyperlink>
      <w:r w:rsidR="00CB067E" w:rsidRPr="00F07121">
        <w:t>.321</w:t>
      </w:r>
    </w:p>
    <w:p w14:paraId="28898C2F" w14:textId="3E6473A8" w:rsidR="00CB067E" w:rsidRPr="00F07121" w:rsidRDefault="00791FEA" w:rsidP="00F07121">
      <w:pPr>
        <w:pStyle w:val="PolicyReferences"/>
        <w:shd w:val="clear" w:color="000000" w:fill="auto"/>
      </w:pPr>
      <w:hyperlink r:id="rId35" w:history="1">
        <w:r w:rsidR="00AD7A35">
          <w:rPr>
            <w:rStyle w:val="Hyperlink"/>
          </w:rPr>
          <w:t>ORS 659A</w:t>
        </w:r>
      </w:hyperlink>
      <w:r w:rsidR="00CB067E" w:rsidRPr="00F07121">
        <w:t>.409</w:t>
      </w:r>
    </w:p>
    <w:bookmarkStart w:id="17" w:name="_Hlk23865088"/>
    <w:p w14:paraId="420D968B" w14:textId="00CE7FBF" w:rsidR="00E92266" w:rsidRPr="00F07121" w:rsidRDefault="00AD7A35" w:rsidP="00F07121">
      <w:pPr>
        <w:pStyle w:val="PolicyReferences"/>
        <w:shd w:val="clear" w:color="000000" w:fill="auto"/>
      </w:pPr>
      <w:r>
        <w:fldChar w:fldCharType="begin"/>
      </w:r>
      <w:r>
        <w:instrText xml:space="preserve"> HYPERLINK "http://policy.osba.org/orsredir.asp?ors=ors-659a" </w:instrText>
      </w:r>
      <w:r>
        <w:fldChar w:fldCharType="separate"/>
      </w:r>
      <w:r>
        <w:rPr>
          <w:rStyle w:val="Hyperlink"/>
        </w:rPr>
        <w:t>ORS 659A</w:t>
      </w:r>
      <w:r>
        <w:fldChar w:fldCharType="end"/>
      </w:r>
      <w:r w:rsidR="002F3F0B" w:rsidRPr="00F07121">
        <w:t>.820</w:t>
      </w:r>
    </w:p>
    <w:bookmarkStart w:id="18" w:name="OAR"/>
    <w:bookmarkEnd w:id="17"/>
    <w:bookmarkEnd w:id="18"/>
    <w:p w14:paraId="47228E88" w14:textId="06067D7D" w:rsidR="00E0539F" w:rsidRPr="00F07121" w:rsidRDefault="0090290E" w:rsidP="00F07121">
      <w:pPr>
        <w:pStyle w:val="PolicyReferences"/>
        <w:shd w:val="clear" w:color="000000" w:fill="auto"/>
      </w:pPr>
      <w:r w:rsidRPr="00F07121">
        <w:fldChar w:fldCharType="begin"/>
      </w:r>
      <w:r w:rsidRPr="00F07121">
        <w:instrText xml:space="preserve"> HYPERLINK "http://policy.osba.org/orsredir.asp?ors=oar-581" </w:instrText>
      </w:r>
      <w:r w:rsidRPr="00F07121">
        <w:fldChar w:fldCharType="separate"/>
      </w:r>
      <w:r w:rsidRPr="00F07121">
        <w:rPr>
          <w:rStyle w:val="Hyperlink"/>
        </w:rPr>
        <w:t>OAR 581</w:t>
      </w:r>
      <w:r w:rsidRPr="00F07121">
        <w:fldChar w:fldCharType="end"/>
      </w:r>
      <w:r w:rsidR="00E0539F" w:rsidRPr="00F07121">
        <w:t>-021-0045</w:t>
      </w:r>
    </w:p>
    <w:p w14:paraId="13C2C064" w14:textId="23A58112" w:rsidR="00E0539F" w:rsidRPr="00F07121" w:rsidRDefault="00791FEA" w:rsidP="00F07121">
      <w:pPr>
        <w:pStyle w:val="PolicyReferences"/>
        <w:shd w:val="clear" w:color="000000" w:fill="auto"/>
      </w:pPr>
      <w:hyperlink r:id="rId36" w:history="1">
        <w:r w:rsidR="0090290E" w:rsidRPr="00F07121">
          <w:rPr>
            <w:rStyle w:val="Hyperlink"/>
          </w:rPr>
          <w:t>OAR 581</w:t>
        </w:r>
      </w:hyperlink>
      <w:r w:rsidR="00E0539F" w:rsidRPr="00F07121">
        <w:t>-022-2405</w:t>
      </w:r>
    </w:p>
    <w:p w14:paraId="315B6CA8" w14:textId="7190CC40" w:rsidR="00E0539F" w:rsidRPr="00F07121" w:rsidRDefault="00791FEA" w:rsidP="00F07121">
      <w:pPr>
        <w:pStyle w:val="PolicyReferences"/>
        <w:shd w:val="clear" w:color="000000" w:fill="auto"/>
      </w:pPr>
      <w:hyperlink r:id="rId37" w:history="1">
        <w:r w:rsidR="0090290E" w:rsidRPr="00F07121">
          <w:rPr>
            <w:rStyle w:val="Hyperlink"/>
          </w:rPr>
          <w:t>OAR 839</w:t>
        </w:r>
      </w:hyperlink>
      <w:r w:rsidR="00E0539F" w:rsidRPr="00F07121">
        <w:t>-003-0000</w:t>
      </w:r>
    </w:p>
    <w:p w14:paraId="1B6448F1" w14:textId="409746A0" w:rsidR="00E0539F" w:rsidRPr="00F07121" w:rsidRDefault="00791FEA" w:rsidP="00F07121">
      <w:pPr>
        <w:pStyle w:val="PolicyReferences"/>
        <w:shd w:val="clear" w:color="000000" w:fill="auto"/>
      </w:pPr>
      <w:hyperlink r:id="rId38" w:history="1">
        <w:r w:rsidR="0090290E" w:rsidRPr="00F07121">
          <w:rPr>
            <w:rStyle w:val="Hyperlink"/>
          </w:rPr>
          <w:t>OAR 839</w:t>
        </w:r>
      </w:hyperlink>
      <w:r w:rsidR="00E0539F" w:rsidRPr="00F07121">
        <w:t>-006-0435</w:t>
      </w:r>
    </w:p>
    <w:p w14:paraId="714F0C35" w14:textId="381B5190" w:rsidR="00E0539F" w:rsidRPr="00F07121" w:rsidRDefault="00791FEA" w:rsidP="00F07121">
      <w:pPr>
        <w:pStyle w:val="PolicyReferences"/>
        <w:shd w:val="clear" w:color="000000" w:fill="auto"/>
      </w:pPr>
      <w:hyperlink r:id="rId39" w:history="1">
        <w:r w:rsidR="0090290E" w:rsidRPr="00F07121">
          <w:rPr>
            <w:rStyle w:val="Hyperlink"/>
          </w:rPr>
          <w:t>OAR 839</w:t>
        </w:r>
      </w:hyperlink>
      <w:r w:rsidR="00E0539F" w:rsidRPr="00F07121">
        <w:t>-006-0440</w:t>
      </w:r>
    </w:p>
    <w:p w14:paraId="0094321D" w14:textId="5D7AAE13" w:rsidR="00E0539F" w:rsidRPr="00F07121" w:rsidRDefault="00791FEA" w:rsidP="00F07121">
      <w:pPr>
        <w:pStyle w:val="PolicyReferences"/>
        <w:shd w:val="clear" w:color="000000" w:fill="auto"/>
      </w:pPr>
      <w:hyperlink r:id="rId40" w:history="1">
        <w:r w:rsidR="0090290E" w:rsidRPr="00F07121">
          <w:rPr>
            <w:rStyle w:val="Hyperlink"/>
          </w:rPr>
          <w:t>OAR 839</w:t>
        </w:r>
      </w:hyperlink>
      <w:r w:rsidR="00E0539F" w:rsidRPr="00F07121">
        <w:t>-006-0450</w:t>
      </w:r>
    </w:p>
    <w:p w14:paraId="50532287" w14:textId="6B603A89" w:rsidR="00E0539F" w:rsidRPr="00F07121" w:rsidRDefault="00791FEA" w:rsidP="00F07121">
      <w:pPr>
        <w:pStyle w:val="PolicyReferences"/>
        <w:shd w:val="clear" w:color="000000" w:fill="auto"/>
      </w:pPr>
      <w:hyperlink r:id="rId41" w:history="1">
        <w:r w:rsidR="0090290E" w:rsidRPr="00F07121">
          <w:rPr>
            <w:rStyle w:val="Hyperlink"/>
          </w:rPr>
          <w:t>OAR 839</w:t>
        </w:r>
      </w:hyperlink>
      <w:r w:rsidR="00E0539F" w:rsidRPr="00F07121">
        <w:t>-006-0455</w:t>
      </w:r>
    </w:p>
    <w:p w14:paraId="20608464" w14:textId="5AEC9579" w:rsidR="00E0539F" w:rsidRPr="00F07121" w:rsidRDefault="00791FEA" w:rsidP="00F07121">
      <w:pPr>
        <w:pStyle w:val="PolicyReferences"/>
        <w:shd w:val="clear" w:color="000000" w:fill="auto"/>
      </w:pPr>
      <w:hyperlink r:id="rId42" w:history="1">
        <w:r w:rsidR="0090290E" w:rsidRPr="00F07121">
          <w:rPr>
            <w:rStyle w:val="Hyperlink"/>
          </w:rPr>
          <w:t>OAR 839</w:t>
        </w:r>
      </w:hyperlink>
      <w:r w:rsidR="00E0539F" w:rsidRPr="00F07121">
        <w:t>-006-0460</w:t>
      </w:r>
    </w:p>
    <w:p w14:paraId="58FC57B8" w14:textId="7E9045FE" w:rsidR="00F56C71" w:rsidRPr="00F07121" w:rsidRDefault="00791FEA" w:rsidP="00F56C71">
      <w:pPr>
        <w:pStyle w:val="PolicyReferences"/>
        <w:shd w:val="clear" w:color="000000" w:fill="auto"/>
      </w:pPr>
      <w:hyperlink r:id="rId43" w:history="1">
        <w:r w:rsidR="0090290E" w:rsidRPr="00F07121">
          <w:rPr>
            <w:rStyle w:val="Hyperlink"/>
          </w:rPr>
          <w:t>OAR 839</w:t>
        </w:r>
      </w:hyperlink>
      <w:r w:rsidR="00E0539F" w:rsidRPr="00F07121">
        <w:t>-006-0465</w:t>
      </w:r>
    </w:p>
    <w:p w14:paraId="0EB1736C" w14:textId="415057A3" w:rsidR="00AA1904" w:rsidRPr="00F07121" w:rsidRDefault="00AA1904" w:rsidP="00F07121">
      <w:pPr>
        <w:pStyle w:val="PolicyReferences"/>
        <w:shd w:val="clear" w:color="000000" w:fill="auto"/>
        <w:sectPr w:rsidR="00AA1904" w:rsidRPr="00F07121" w:rsidSect="00CB067E">
          <w:type w:val="continuous"/>
          <w:pgSz w:w="12240" w:h="15838"/>
          <w:pgMar w:top="936" w:right="720" w:bottom="720" w:left="1224" w:header="432" w:footer="720" w:gutter="0"/>
          <w:cols w:num="3" w:space="360" w:equalWidth="0">
            <w:col w:w="3192" w:space="360"/>
            <w:col w:w="3192" w:space="360"/>
            <w:col w:w="3192"/>
          </w:cols>
          <w:noEndnote/>
          <w:docGrid w:linePitch="326"/>
        </w:sectPr>
      </w:pPr>
    </w:p>
    <w:p w14:paraId="48A5B40D" w14:textId="77777777" w:rsidR="00CB067E" w:rsidRPr="00F07121" w:rsidRDefault="00CB067E" w:rsidP="00F07121">
      <w:pPr>
        <w:pStyle w:val="PolicyReferences"/>
        <w:shd w:val="clear" w:color="000000" w:fill="auto"/>
      </w:pPr>
    </w:p>
    <w:p w14:paraId="17F92AF2" w14:textId="4CAD3342" w:rsidR="00CB067E" w:rsidRPr="00F07121" w:rsidRDefault="00CB067E" w:rsidP="00F07121">
      <w:pPr>
        <w:pStyle w:val="PolicyReferences"/>
        <w:shd w:val="clear" w:color="000000" w:fill="auto"/>
      </w:pPr>
      <w:r w:rsidRPr="00F07121">
        <w:t>Title VI of the Civil Rights Act of 1964, 42 U.S.C. § 2000d (</w:t>
      </w:r>
      <w:del w:id="19" w:author="Leslie Fisher" w:date="2021-07-27T13:06:00Z">
        <w:r w:rsidR="00F675F3" w:rsidRPr="00F07121" w:rsidDel="00C425A3">
          <w:delText>2012</w:delText>
        </w:r>
      </w:del>
      <w:r w:rsidR="00C425A3" w:rsidRPr="007F71E7">
        <w:rPr>
          <w:highlight w:val="darkGray"/>
        </w:rPr>
        <w:t>2018</w:t>
      </w:r>
      <w:r w:rsidRPr="00F07121">
        <w:t>).</w:t>
      </w:r>
    </w:p>
    <w:p w14:paraId="4CF13FAF" w14:textId="1FD86693" w:rsidR="00CB067E" w:rsidRPr="00F07121" w:rsidRDefault="00CB067E" w:rsidP="00F07121">
      <w:pPr>
        <w:pStyle w:val="PolicyReferences"/>
        <w:shd w:val="clear" w:color="000000" w:fill="auto"/>
      </w:pPr>
      <w:r w:rsidRPr="00F07121">
        <w:t>Title VII of the Civil Rights Act of 1964, 42 U.S.C. § 2000e, et. seq. (</w:t>
      </w:r>
      <w:del w:id="20" w:author="Leslie Fisher" w:date="2021-07-27T13:06:00Z">
        <w:r w:rsidR="00F675F3" w:rsidRPr="00F07121" w:rsidDel="00C425A3">
          <w:delText>2012</w:delText>
        </w:r>
      </w:del>
      <w:r w:rsidR="00C425A3" w:rsidRPr="007F71E7">
        <w:rPr>
          <w:highlight w:val="darkGray"/>
        </w:rPr>
        <w:t>2018</w:t>
      </w:r>
      <w:r w:rsidRPr="00F07121">
        <w:t>).</w:t>
      </w:r>
    </w:p>
    <w:p w14:paraId="5E24F823" w14:textId="7D26202D" w:rsidR="00CB067E" w:rsidRPr="00F07121" w:rsidRDefault="00CB067E" w:rsidP="00F07121">
      <w:pPr>
        <w:pStyle w:val="PolicyReferences"/>
        <w:shd w:val="clear" w:color="000000" w:fill="auto"/>
      </w:pPr>
      <w:r w:rsidRPr="00F07121">
        <w:t>Age Discrimination in Employment Act of 1967, 29 U.S.C. §§ 621-634 (</w:t>
      </w:r>
      <w:r w:rsidR="00F675F3" w:rsidRPr="00F07121">
        <w:t>201</w:t>
      </w:r>
      <w:r w:rsidR="001F52BA" w:rsidRPr="00F07121">
        <w:t>8</w:t>
      </w:r>
      <w:r w:rsidRPr="00F07121">
        <w:t>); 29 C.F.R Part 1626 (201</w:t>
      </w:r>
      <w:r w:rsidR="001F52BA" w:rsidRPr="00F07121">
        <w:t>9</w:t>
      </w:r>
      <w:r w:rsidRPr="00F07121">
        <w:t>).</w:t>
      </w:r>
    </w:p>
    <w:p w14:paraId="4B502F34" w14:textId="01277D2B" w:rsidR="00CB067E" w:rsidRPr="00F07121" w:rsidRDefault="00CB067E" w:rsidP="00F07121">
      <w:pPr>
        <w:pStyle w:val="PolicyReferences"/>
        <w:shd w:val="clear" w:color="000000" w:fill="auto"/>
      </w:pPr>
      <w:r w:rsidRPr="00F07121">
        <w:t>Age Discrimination Act of 1975, 42 U.S.C. §§ 6101-6107 (</w:t>
      </w:r>
      <w:del w:id="21" w:author="Leslie Fisher" w:date="2021-07-27T13:06:00Z">
        <w:r w:rsidR="00F675F3" w:rsidRPr="00F07121" w:rsidDel="00C425A3">
          <w:delText>2012</w:delText>
        </w:r>
      </w:del>
      <w:r w:rsidR="00C425A3" w:rsidRPr="007F71E7">
        <w:rPr>
          <w:highlight w:val="darkGray"/>
        </w:rPr>
        <w:t>2018</w:t>
      </w:r>
      <w:r w:rsidRPr="00F07121">
        <w:t>).</w:t>
      </w:r>
    </w:p>
    <w:p w14:paraId="5E2FCB96" w14:textId="3AAD5410" w:rsidR="00CB067E" w:rsidRPr="00F07121" w:rsidRDefault="00CB067E" w:rsidP="00F07121">
      <w:pPr>
        <w:pStyle w:val="PolicyReferences"/>
        <w:shd w:val="clear" w:color="000000" w:fill="auto"/>
      </w:pPr>
      <w:r w:rsidRPr="00F07121">
        <w:t>Equal Pay Act of 1963, 29 U.S.C. § 206(d) (</w:t>
      </w:r>
      <w:r w:rsidR="00F675F3" w:rsidRPr="00F07121">
        <w:t>201</w:t>
      </w:r>
      <w:r w:rsidR="001F52BA" w:rsidRPr="00F07121">
        <w:t>8</w:t>
      </w:r>
      <w:r w:rsidRPr="00F07121">
        <w:t>).</w:t>
      </w:r>
    </w:p>
    <w:p w14:paraId="6AA21055" w14:textId="187181EB" w:rsidR="00CB067E" w:rsidRPr="00F07121" w:rsidRDefault="00CB067E" w:rsidP="00F07121">
      <w:pPr>
        <w:pStyle w:val="PolicyReferences"/>
        <w:shd w:val="clear" w:color="000000" w:fill="auto"/>
      </w:pPr>
      <w:r w:rsidRPr="00F07121">
        <w:t>Rehabilitation Act of 1973, 29 U.S.C. §§ 791, 794 (</w:t>
      </w:r>
      <w:del w:id="22" w:author="Leslie Fisher" w:date="2021-07-27T13:06:00Z">
        <w:r w:rsidR="00F675F3" w:rsidRPr="00F07121" w:rsidDel="00C425A3">
          <w:delText>2012</w:delText>
        </w:r>
      </w:del>
      <w:r w:rsidR="00C425A3" w:rsidRPr="007F71E7">
        <w:rPr>
          <w:highlight w:val="darkGray"/>
        </w:rPr>
        <w:t>2018</w:t>
      </w:r>
      <w:r w:rsidRPr="00F07121">
        <w:t>)</w:t>
      </w:r>
      <w:r w:rsidR="001F52BA" w:rsidRPr="00F07121">
        <w:t>; 34 C.F.R. Part 104 (2019)</w:t>
      </w:r>
      <w:r w:rsidRPr="00F07121">
        <w:t>.</w:t>
      </w:r>
    </w:p>
    <w:p w14:paraId="66597AB9" w14:textId="3ECE0759" w:rsidR="00CB067E" w:rsidRPr="00F07121" w:rsidRDefault="00CB067E" w:rsidP="00F07121">
      <w:pPr>
        <w:pStyle w:val="PolicyReferences"/>
        <w:shd w:val="clear" w:color="000000" w:fill="auto"/>
      </w:pPr>
      <w:r w:rsidRPr="00F07121">
        <w:t>Title IX of the Education Amendments of 1972, 20 U.S.C. §§ 1681-1683</w:t>
      </w:r>
      <w:r w:rsidR="00BA6E82" w:rsidRPr="00F07121">
        <w:t>, 1701, 1703-1705, 1720</w:t>
      </w:r>
      <w:r w:rsidRPr="00F07121">
        <w:t xml:space="preserve"> (</w:t>
      </w:r>
      <w:r w:rsidR="00F675F3" w:rsidRPr="00F07121">
        <w:t>201</w:t>
      </w:r>
      <w:r w:rsidR="001F52BA" w:rsidRPr="00F07121">
        <w:t>8</w:t>
      </w:r>
      <w:r w:rsidRPr="00F07121">
        <w:t>); Nondiscrimination on the Basis of Sex in Education Programs or Activities Receiving Federal Financial Assistance, 34 C.F.R. Part 106 (</w:t>
      </w:r>
      <w:del w:id="23" w:author="Leslie Fisher" w:date="2021-07-27T13:07:00Z">
        <w:r w:rsidRPr="00F07121" w:rsidDel="00C425A3">
          <w:delText>201</w:delText>
        </w:r>
        <w:r w:rsidR="001F52BA" w:rsidRPr="00F07121" w:rsidDel="00C425A3">
          <w:delText>9</w:delText>
        </w:r>
      </w:del>
      <w:r w:rsidR="00C425A3" w:rsidRPr="007F71E7">
        <w:rPr>
          <w:highlight w:val="darkGray"/>
        </w:rPr>
        <w:t>2020</w:t>
      </w:r>
      <w:r w:rsidRPr="00F07121">
        <w:t>).</w:t>
      </w:r>
    </w:p>
    <w:p w14:paraId="11C5EFFD" w14:textId="7B772F36" w:rsidR="00CB067E" w:rsidRPr="00F07121" w:rsidRDefault="00CB067E" w:rsidP="00F07121">
      <w:pPr>
        <w:pStyle w:val="PolicyReferences"/>
        <w:shd w:val="clear" w:color="000000" w:fill="auto"/>
      </w:pPr>
      <w:r w:rsidRPr="00F07121">
        <w:t>Americans with Disabilities Act of 1990, 42 U.S.C. §§ 12101-12213</w:t>
      </w:r>
      <w:r w:rsidR="001F52BA" w:rsidRPr="00F07121">
        <w:t xml:space="preserve"> (</w:t>
      </w:r>
      <w:del w:id="24" w:author="Leslie Fisher" w:date="2021-07-27T13:07:00Z">
        <w:r w:rsidR="001F52BA" w:rsidRPr="00F07121" w:rsidDel="00C425A3">
          <w:delText>2012</w:delText>
        </w:r>
      </w:del>
      <w:r w:rsidR="00C425A3" w:rsidRPr="007F71E7">
        <w:rPr>
          <w:highlight w:val="darkGray"/>
        </w:rPr>
        <w:t>2018</w:t>
      </w:r>
      <w:r w:rsidR="001F52BA" w:rsidRPr="00F07121">
        <w:t>)</w:t>
      </w:r>
      <w:r w:rsidRPr="00F07121">
        <w:t>; 29 C.F.R. Part 1630 (201</w:t>
      </w:r>
      <w:r w:rsidR="00E7678F" w:rsidRPr="00F07121">
        <w:t>9</w:t>
      </w:r>
      <w:r w:rsidRPr="00F07121">
        <w:t>); 28 C.F.R. Part 35 (201</w:t>
      </w:r>
      <w:r w:rsidR="00E7678F" w:rsidRPr="00F07121">
        <w:t>9</w:t>
      </w:r>
      <w:r w:rsidRPr="00F07121">
        <w:t>).</w:t>
      </w:r>
    </w:p>
    <w:p w14:paraId="71947C26" w14:textId="77777777" w:rsidR="00CB067E" w:rsidRPr="00F07121" w:rsidRDefault="00CB067E" w:rsidP="00F07121">
      <w:pPr>
        <w:pStyle w:val="PolicyReferences"/>
        <w:shd w:val="clear" w:color="000000" w:fill="auto"/>
      </w:pPr>
      <w:r w:rsidRPr="00F07121">
        <w:t>Wygant v. Jackson Bd. of Educ., 476 U.S. 267 (1989).</w:t>
      </w:r>
    </w:p>
    <w:p w14:paraId="686BA355" w14:textId="2700B1B8" w:rsidR="00CB067E" w:rsidRPr="00F07121" w:rsidRDefault="00CB067E" w:rsidP="00F07121">
      <w:pPr>
        <w:pStyle w:val="PolicyReferences"/>
        <w:shd w:val="clear" w:color="000000" w:fill="auto"/>
      </w:pPr>
      <w:r w:rsidRPr="00F07121">
        <w:t>Americans with Disabilities Act Amendments Act of 2008</w:t>
      </w:r>
      <w:r w:rsidR="006B5D77" w:rsidRPr="00F07121">
        <w:t xml:space="preserve">, </w:t>
      </w:r>
      <w:r w:rsidR="00B90483" w:rsidRPr="00F07121">
        <w:t>42 U.S.C. §§ 12101-12133 (</w:t>
      </w:r>
      <w:del w:id="25" w:author="Leslie Fisher" w:date="2021-07-27T13:08:00Z">
        <w:r w:rsidR="00B90483" w:rsidRPr="00F07121" w:rsidDel="00C425A3">
          <w:delText>2012</w:delText>
        </w:r>
      </w:del>
      <w:r w:rsidR="00C425A3" w:rsidRPr="007F71E7">
        <w:rPr>
          <w:highlight w:val="darkGray"/>
        </w:rPr>
        <w:t>2018</w:t>
      </w:r>
      <w:r w:rsidR="00B90483" w:rsidRPr="00F07121">
        <w:t>)</w:t>
      </w:r>
      <w:r w:rsidRPr="00F07121">
        <w:t>.</w:t>
      </w:r>
    </w:p>
    <w:p w14:paraId="0465D284" w14:textId="7567A9AE" w:rsidR="00CB067E" w:rsidRPr="00F07121" w:rsidRDefault="00CB067E" w:rsidP="00F07121">
      <w:pPr>
        <w:pStyle w:val="PolicyReferences"/>
        <w:shd w:val="clear" w:color="000000" w:fill="auto"/>
      </w:pPr>
      <w:r w:rsidRPr="00F07121">
        <w:t>The Vietnam Era Veterans’ Readjustment Assistance Act of 1974, 38 U.S.C. § 4212 (</w:t>
      </w:r>
      <w:r w:rsidR="00F675F3" w:rsidRPr="00F07121">
        <w:t>201</w:t>
      </w:r>
      <w:r w:rsidR="00787D10" w:rsidRPr="00F07121">
        <w:t>8</w:t>
      </w:r>
      <w:r w:rsidRPr="00F07121">
        <w:t>).</w:t>
      </w:r>
    </w:p>
    <w:p w14:paraId="5149D53D" w14:textId="2FE01040" w:rsidR="00CB067E" w:rsidRPr="00F07121" w:rsidRDefault="00CB067E" w:rsidP="00F07121">
      <w:pPr>
        <w:pStyle w:val="PolicyReferences"/>
        <w:shd w:val="clear" w:color="000000" w:fill="auto"/>
      </w:pPr>
      <w:r w:rsidRPr="00F07121">
        <w:t>Genetic Information Nondiscrimination Act of 2008</w:t>
      </w:r>
      <w:r w:rsidR="00E7678F" w:rsidRPr="00F07121">
        <w:t>, 42 U.S.C. § 2000ff-1 (</w:t>
      </w:r>
      <w:del w:id="26" w:author="Leslie Fisher" w:date="2021-07-27T13:08:00Z">
        <w:r w:rsidR="00E7678F" w:rsidRPr="00F07121" w:rsidDel="00C425A3">
          <w:delText>2012</w:delText>
        </w:r>
      </w:del>
      <w:r w:rsidR="00C425A3" w:rsidRPr="007F71E7">
        <w:rPr>
          <w:highlight w:val="darkGray"/>
        </w:rPr>
        <w:t>2018</w:t>
      </w:r>
      <w:r w:rsidR="00E7678F" w:rsidRPr="00F07121">
        <w:t>)</w:t>
      </w:r>
      <w:r w:rsidRPr="00F07121">
        <w:t>.</w:t>
      </w:r>
    </w:p>
    <w:p w14:paraId="547739F7" w14:textId="702DC558" w:rsidR="00094735" w:rsidRPr="00F07121" w:rsidRDefault="007E1DE8" w:rsidP="00F07121">
      <w:pPr>
        <w:pStyle w:val="PolicyReferences"/>
        <w:shd w:val="clear" w:color="000000" w:fill="auto"/>
      </w:pPr>
      <w:r w:rsidRPr="00F07121">
        <w:t>Chevron USA Inc. v. Echazabal, 536 U.S. 736 (2002).</w:t>
      </w:r>
    </w:p>
    <w:p w14:paraId="26F8B09D" w14:textId="7FDA11F6" w:rsidR="00DA24B8" w:rsidRDefault="00DA24B8" w:rsidP="00F07121">
      <w:pPr>
        <w:pStyle w:val="PolicyReferences"/>
        <w:shd w:val="clear" w:color="000000" w:fill="auto"/>
      </w:pPr>
      <w:r w:rsidRPr="00F07121">
        <w:t>Uniformed Services Employment and Reemployment Rights Act of 1994, 38 U.S.C. §§ 4301-4303 (2018).</w:t>
      </w:r>
    </w:p>
    <w:p w14:paraId="647338F4" w14:textId="77777777" w:rsidR="00F56C71" w:rsidRPr="007F71E7" w:rsidRDefault="00F56C71" w:rsidP="00F56C71">
      <w:pPr>
        <w:pStyle w:val="PolicyReferences"/>
        <w:shd w:val="clear" w:color="000000" w:fill="auto"/>
        <w:rPr>
          <w:highlight w:val="darkGray"/>
        </w:rPr>
      </w:pPr>
      <w:r w:rsidRPr="007F71E7">
        <w:rPr>
          <w:highlight w:val="darkGray"/>
        </w:rPr>
        <w:t>House Bill 2935 (2021)</w:t>
      </w:r>
    </w:p>
    <w:p w14:paraId="6BF011C3" w14:textId="335CDDC1" w:rsidR="00F56C71" w:rsidRPr="00F07121" w:rsidRDefault="00F56C71" w:rsidP="00F56C71">
      <w:pPr>
        <w:pStyle w:val="PolicyReferences"/>
        <w:shd w:val="clear" w:color="000000" w:fill="auto"/>
      </w:pPr>
      <w:r w:rsidRPr="007F71E7">
        <w:rPr>
          <w:highlight w:val="darkGray"/>
        </w:rPr>
        <w:t>House Bill 3041 (2021)</w:t>
      </w:r>
    </w:p>
    <w:sectPr w:rsidR="00F56C71" w:rsidRPr="00F07121" w:rsidSect="00CB067E">
      <w:footerReference w:type="default" r:id="rId44"/>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488F9" w14:textId="77777777" w:rsidR="00CB067E" w:rsidRDefault="00CB067E" w:rsidP="00FC3907">
      <w:r>
        <w:separator/>
      </w:r>
    </w:p>
  </w:endnote>
  <w:endnote w:type="continuationSeparator" w:id="0">
    <w:p w14:paraId="7F222867" w14:textId="77777777" w:rsidR="00CB067E" w:rsidRDefault="00CB067E"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54080" w14:textId="77777777" w:rsidR="007F71E7" w:rsidRDefault="007F7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CB067E" w:rsidRPr="00F07121" w14:paraId="462B00FE" w14:textId="77777777" w:rsidTr="004616AD">
      <w:tc>
        <w:tcPr>
          <w:tcW w:w="2340" w:type="dxa"/>
        </w:tcPr>
        <w:p w14:paraId="122EA4C3" w14:textId="5E2E5E7B" w:rsidR="00CB067E" w:rsidRPr="00F07121" w:rsidRDefault="00CB067E" w:rsidP="004616AD">
          <w:pPr>
            <w:pStyle w:val="Footer"/>
            <w:rPr>
              <w:noProof/>
              <w:sz w:val="20"/>
            </w:rPr>
          </w:pPr>
          <w:r w:rsidRPr="00F07121">
            <w:rPr>
              <w:noProof/>
              <w:sz w:val="20"/>
            </w:rPr>
            <w:t>R</w:t>
          </w:r>
          <w:del w:id="10" w:author="Leslie Fisher" w:date="2021-07-15T09:53:00Z">
            <w:r w:rsidR="00FC5DCB" w:rsidRPr="00F07121" w:rsidDel="00FB1B1D">
              <w:rPr>
                <w:noProof/>
                <w:sz w:val="20"/>
              </w:rPr>
              <w:delText>11/</w:delText>
            </w:r>
            <w:r w:rsidR="009B29F4" w:rsidRPr="00F07121" w:rsidDel="00FB1B1D">
              <w:rPr>
                <w:noProof/>
                <w:sz w:val="20"/>
              </w:rPr>
              <w:delText>22</w:delText>
            </w:r>
            <w:r w:rsidR="00FC5DCB" w:rsidRPr="00F07121" w:rsidDel="00FB1B1D">
              <w:rPr>
                <w:noProof/>
                <w:sz w:val="20"/>
              </w:rPr>
              <w:delText>/19</w:delText>
            </w:r>
          </w:del>
          <w:r w:rsidR="007F71E7" w:rsidRPr="007F71E7">
            <w:rPr>
              <w:noProof/>
              <w:sz w:val="20"/>
              <w:highlight w:val="darkGray"/>
            </w:rPr>
            <w:t>10/05/21</w:t>
          </w:r>
          <w:r w:rsidRPr="00F07121">
            <w:rPr>
              <w:noProof/>
              <w:sz w:val="20"/>
            </w:rPr>
            <w:t>│</w:t>
          </w:r>
          <w:del w:id="11" w:author="Leslie Fisher" w:date="2021-07-15T09:53:00Z">
            <w:r w:rsidR="00FC5DCB" w:rsidRPr="00F07121" w:rsidDel="00FB1B1D">
              <w:rPr>
                <w:noProof/>
                <w:sz w:val="20"/>
              </w:rPr>
              <w:delText>RS</w:delText>
            </w:r>
          </w:del>
          <w:r w:rsidR="00FB1B1D" w:rsidRPr="007F71E7">
            <w:rPr>
              <w:noProof/>
              <w:sz w:val="20"/>
              <w:highlight w:val="darkGray"/>
            </w:rPr>
            <w:t>LF</w:t>
          </w:r>
        </w:p>
      </w:tc>
      <w:tc>
        <w:tcPr>
          <w:tcW w:w="7956" w:type="dxa"/>
        </w:tcPr>
        <w:p w14:paraId="22738CFB" w14:textId="77777777" w:rsidR="00CB067E" w:rsidRPr="00F07121" w:rsidRDefault="00CB067E" w:rsidP="004616AD">
          <w:pPr>
            <w:pStyle w:val="Footer"/>
            <w:jc w:val="right"/>
          </w:pPr>
          <w:r w:rsidRPr="00F07121">
            <w:t>Equal Employment Opportunity – GBA</w:t>
          </w:r>
        </w:p>
        <w:p w14:paraId="45F43F3E" w14:textId="77777777" w:rsidR="00CB067E" w:rsidRPr="00F07121" w:rsidRDefault="00CB067E" w:rsidP="004616AD">
          <w:pPr>
            <w:pStyle w:val="Footer"/>
            <w:jc w:val="right"/>
            <w:rPr>
              <w:sz w:val="20"/>
            </w:rPr>
          </w:pPr>
          <w:r w:rsidRPr="00F07121">
            <w:rPr>
              <w:bCs/>
              <w:noProof/>
            </w:rPr>
            <w:fldChar w:fldCharType="begin"/>
          </w:r>
          <w:r w:rsidRPr="00F07121">
            <w:rPr>
              <w:bCs/>
              <w:noProof/>
            </w:rPr>
            <w:instrText xml:space="preserve"> PAGE  \* Arabic  \* MERGEFORMAT </w:instrText>
          </w:r>
          <w:r w:rsidRPr="00F07121">
            <w:rPr>
              <w:bCs/>
              <w:noProof/>
            </w:rPr>
            <w:fldChar w:fldCharType="separate"/>
          </w:r>
          <w:r w:rsidR="00AD7A35">
            <w:rPr>
              <w:bCs/>
              <w:noProof/>
            </w:rPr>
            <w:t>2</w:t>
          </w:r>
          <w:r w:rsidRPr="00F07121">
            <w:rPr>
              <w:bCs/>
              <w:noProof/>
            </w:rPr>
            <w:fldChar w:fldCharType="end"/>
          </w:r>
          <w:r w:rsidRPr="00F07121">
            <w:rPr>
              <w:noProof/>
            </w:rPr>
            <w:t>-</w:t>
          </w:r>
          <w:r w:rsidRPr="00F07121">
            <w:rPr>
              <w:bCs/>
              <w:noProof/>
            </w:rPr>
            <w:fldChar w:fldCharType="begin"/>
          </w:r>
          <w:r w:rsidRPr="00F07121">
            <w:rPr>
              <w:bCs/>
              <w:noProof/>
            </w:rPr>
            <w:instrText xml:space="preserve"> NUMPAGES  \* Arabic  \* MERGEFORMAT </w:instrText>
          </w:r>
          <w:r w:rsidRPr="00F07121">
            <w:rPr>
              <w:bCs/>
              <w:noProof/>
            </w:rPr>
            <w:fldChar w:fldCharType="separate"/>
          </w:r>
          <w:r w:rsidR="00AD7A35">
            <w:rPr>
              <w:bCs/>
              <w:noProof/>
            </w:rPr>
            <w:t>2</w:t>
          </w:r>
          <w:r w:rsidRPr="00F07121">
            <w:rPr>
              <w:bCs/>
              <w:noProof/>
            </w:rPr>
            <w:fldChar w:fldCharType="end"/>
          </w:r>
        </w:p>
      </w:tc>
    </w:tr>
  </w:tbl>
  <w:p w14:paraId="7AD1F772" w14:textId="77777777" w:rsidR="00CB067E" w:rsidRPr="00F07121" w:rsidRDefault="00CB067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BA6F6" w14:textId="77777777" w:rsidR="007F71E7" w:rsidRDefault="007F71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CB067E" w:rsidRPr="00F07121" w14:paraId="0779822C" w14:textId="77777777" w:rsidTr="004616AD">
      <w:tc>
        <w:tcPr>
          <w:tcW w:w="2340" w:type="dxa"/>
        </w:tcPr>
        <w:p w14:paraId="2E0DE27C" w14:textId="77777777" w:rsidR="00CB067E" w:rsidRPr="00F07121" w:rsidRDefault="00CB067E" w:rsidP="004616AD">
          <w:pPr>
            <w:pStyle w:val="Footer"/>
            <w:rPr>
              <w:noProof/>
              <w:sz w:val="20"/>
            </w:rPr>
          </w:pPr>
          <w:r w:rsidRPr="00F07121">
            <w:rPr>
              <w:noProof/>
              <w:sz w:val="20"/>
            </w:rPr>
            <w:t>R7/19/16│SL</w:t>
          </w:r>
        </w:p>
      </w:tc>
      <w:tc>
        <w:tcPr>
          <w:tcW w:w="7956" w:type="dxa"/>
        </w:tcPr>
        <w:p w14:paraId="65B68B95" w14:textId="77777777" w:rsidR="00CB067E" w:rsidRPr="00F07121" w:rsidRDefault="00CB067E" w:rsidP="004616AD">
          <w:pPr>
            <w:pStyle w:val="Footer"/>
            <w:jc w:val="right"/>
          </w:pPr>
          <w:r w:rsidRPr="00F07121">
            <w:t>Equal Employment Opportunity – GBA</w:t>
          </w:r>
        </w:p>
        <w:p w14:paraId="2715B97C" w14:textId="77777777" w:rsidR="00CB067E" w:rsidRPr="00F07121" w:rsidRDefault="00CB067E" w:rsidP="004616AD">
          <w:pPr>
            <w:pStyle w:val="Footer"/>
            <w:jc w:val="right"/>
            <w:rPr>
              <w:sz w:val="20"/>
            </w:rPr>
          </w:pPr>
          <w:r w:rsidRPr="00F07121">
            <w:rPr>
              <w:bCs/>
              <w:noProof/>
            </w:rPr>
            <w:fldChar w:fldCharType="begin"/>
          </w:r>
          <w:r w:rsidRPr="00F07121">
            <w:rPr>
              <w:bCs/>
              <w:noProof/>
            </w:rPr>
            <w:instrText xml:space="preserve"> PAGE  \* Arabic  \* MERGEFORMAT </w:instrText>
          </w:r>
          <w:r w:rsidRPr="00F07121">
            <w:rPr>
              <w:bCs/>
              <w:noProof/>
            </w:rPr>
            <w:fldChar w:fldCharType="separate"/>
          </w:r>
          <w:r w:rsidRPr="00F07121">
            <w:rPr>
              <w:bCs/>
              <w:noProof/>
            </w:rPr>
            <w:t>1</w:t>
          </w:r>
          <w:r w:rsidRPr="00F07121">
            <w:rPr>
              <w:bCs/>
              <w:noProof/>
            </w:rPr>
            <w:fldChar w:fldCharType="end"/>
          </w:r>
          <w:r w:rsidRPr="00F07121">
            <w:rPr>
              <w:noProof/>
            </w:rPr>
            <w:t>-</w:t>
          </w:r>
          <w:r w:rsidRPr="00F07121">
            <w:rPr>
              <w:bCs/>
              <w:noProof/>
            </w:rPr>
            <w:fldChar w:fldCharType="begin"/>
          </w:r>
          <w:r w:rsidRPr="00F07121">
            <w:rPr>
              <w:bCs/>
              <w:noProof/>
            </w:rPr>
            <w:instrText xml:space="preserve"> NUMPAGES  \* Arabic  \* MERGEFORMAT </w:instrText>
          </w:r>
          <w:r w:rsidRPr="00F07121">
            <w:rPr>
              <w:bCs/>
              <w:noProof/>
            </w:rPr>
            <w:fldChar w:fldCharType="separate"/>
          </w:r>
          <w:r w:rsidRPr="00F07121">
            <w:rPr>
              <w:bCs/>
              <w:noProof/>
            </w:rPr>
            <w:t>1</w:t>
          </w:r>
          <w:r w:rsidRPr="00F07121">
            <w:rPr>
              <w:bCs/>
              <w:noProof/>
            </w:rPr>
            <w:fldChar w:fldCharType="end"/>
          </w:r>
        </w:p>
      </w:tc>
    </w:tr>
  </w:tbl>
  <w:p w14:paraId="5B838755" w14:textId="77777777" w:rsidR="00CB067E" w:rsidRPr="00F07121" w:rsidRDefault="00CB067E"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66359" w14:textId="77777777" w:rsidR="00CB067E" w:rsidRDefault="00CB067E" w:rsidP="00FC3907">
      <w:r>
        <w:separator/>
      </w:r>
    </w:p>
  </w:footnote>
  <w:footnote w:type="continuationSeparator" w:id="0">
    <w:p w14:paraId="286C2189" w14:textId="77777777" w:rsidR="00CB067E" w:rsidRDefault="00CB067E" w:rsidP="00FC3907">
      <w:r>
        <w:continuationSeparator/>
      </w:r>
    </w:p>
  </w:footnote>
  <w:footnote w:id="1">
    <w:p w14:paraId="6B150FF6" w14:textId="378EEEFE" w:rsidR="007A0FD8" w:rsidRPr="007A0FD8" w:rsidRDefault="007A0FD8">
      <w:pPr>
        <w:pStyle w:val="FootnoteText"/>
        <w:rPr>
          <w:highlight w:val="darkGray"/>
        </w:rPr>
      </w:pPr>
      <w:r w:rsidRPr="007A0FD8">
        <w:rPr>
          <w:rStyle w:val="FootnoteReference"/>
          <w:highlight w:val="darkGray"/>
        </w:rPr>
        <w:footnoteRef/>
      </w:r>
      <w:r w:rsidRPr="007A0FD8">
        <w:rPr>
          <w:highlight w:val="darkGray"/>
        </w:rPr>
        <w:t xml:space="preserve"> Race also includes physical characteristics that are historically associated with race, including but not limited to natural hair, hair texture, hair type and protective hairstyles as defined by ORS 659A.001 (as amended by House Bill 2935 (2021)).</w:t>
      </w:r>
    </w:p>
  </w:footnote>
  <w:footnote w:id="2">
    <w:p w14:paraId="3AB8DBFA" w14:textId="77777777" w:rsidR="00CB067E" w:rsidDel="00FB1B1D" w:rsidRDefault="00CB067E">
      <w:pPr>
        <w:pStyle w:val="FootnoteText"/>
        <w:rPr>
          <w:del w:id="1" w:author="Leslie Fisher" w:date="2021-07-15T09:53:00Z"/>
        </w:rPr>
      </w:pPr>
      <w:del w:id="2" w:author="Leslie Fisher" w:date="2021-07-15T09:53:00Z">
        <w:r w:rsidDel="00FB1B1D">
          <w:rPr>
            <w:rStyle w:val="FootnoteReference"/>
          </w:rPr>
          <w:footnoteRef/>
        </w:r>
        <w:r w:rsidDel="00FB1B1D">
          <w:delText xml:space="preserve"> </w:delText>
        </w:r>
        <w:r w:rsidRPr="00F07121" w:rsidDel="00FB1B1D">
          <w:delText>“Sexual orientation” means an individual’s actual or perceived heterosexuality, homosexuality, bisexuality or gender identity, regardless of whether the individual’s gender identity, appearance, expression or behavior differs from that traditionally associated within the individual’s sex at birth.</w:delText>
        </w:r>
      </w:del>
    </w:p>
  </w:footnote>
  <w:footnote w:id="3">
    <w:p w14:paraId="188B013E" w14:textId="0C5AC294" w:rsidR="00D97F99" w:rsidRPr="00D97F99" w:rsidRDefault="00D97F99">
      <w:pPr>
        <w:pStyle w:val="FootnoteText"/>
        <w:rPr>
          <w:highlight w:val="darkGray"/>
        </w:rPr>
      </w:pPr>
      <w:r w:rsidRPr="00985563">
        <w:rPr>
          <w:rStyle w:val="FootnoteReference"/>
        </w:rPr>
        <w:footnoteRef/>
      </w:r>
      <w:r w:rsidRPr="00985563">
        <w:t xml:space="preserve"> </w:t>
      </w:r>
      <w:r w:rsidRPr="00F07121">
        <w:t xml:space="preserve">This unlawful employment practice related to pregnancy, childbirth or a related medical condition as described in </w:t>
      </w:r>
      <w:r w:rsidR="00E0539F" w:rsidRPr="00F07121">
        <w:t>House Bill 2341 (2019</w:t>
      </w:r>
      <w:r w:rsidR="00480AC4" w:rsidRPr="00F07121">
        <w:t>)</w:t>
      </w:r>
      <w:r w:rsidR="00E0539F" w:rsidRPr="00F07121">
        <w:t xml:space="preserve"> </w:t>
      </w:r>
      <w:r w:rsidR="00480AC4" w:rsidRPr="00F07121">
        <w:t>(</w:t>
      </w:r>
      <w:r w:rsidR="00B233F2" w:rsidRPr="00F07121">
        <w:t xml:space="preserve">added to </w:t>
      </w:r>
      <w:r w:rsidRPr="00F07121">
        <w:t>ORS 659A</w:t>
      </w:r>
      <w:r w:rsidR="00E0539F" w:rsidRPr="00F07121">
        <w:t>)</w:t>
      </w:r>
      <w:r w:rsidRPr="00F07121">
        <w:t xml:space="preserve"> applies to employers who employ six or more persons.</w:t>
      </w:r>
    </w:p>
  </w:footnote>
  <w:footnote w:id="4">
    <w:p w14:paraId="60DBC655" w14:textId="77777777" w:rsidR="00CB067E" w:rsidRDefault="00CB067E">
      <w:pPr>
        <w:pStyle w:val="FootnoteText"/>
      </w:pPr>
      <w:r>
        <w:rPr>
          <w:rStyle w:val="FootnoteReference"/>
        </w:rPr>
        <w:footnoteRef/>
      </w:r>
      <w:r>
        <w:t xml:space="preserve"> </w:t>
      </w:r>
      <w:r w:rsidRPr="00F07121">
        <w:t>The district grants a preference in hiring and promotion to veterans and disabled veterans. A veteran is eligible to use the preference any time when applying for a position at any time after discharge or release from service in the Armed Forces of the United States.</w:t>
      </w:r>
    </w:p>
  </w:footnote>
  <w:footnote w:id="5">
    <w:p w14:paraId="5F01D2E1" w14:textId="1D7DCC74" w:rsidR="002D0B87" w:rsidRPr="003E6F35" w:rsidRDefault="002D0B87">
      <w:pPr>
        <w:pStyle w:val="FootnoteText"/>
        <w:rPr>
          <w:i/>
          <w:iCs/>
          <w:highlight w:val="darkGray"/>
        </w:rPr>
      </w:pPr>
      <w:r w:rsidRPr="00985563">
        <w:rPr>
          <w:rStyle w:val="FootnoteReference"/>
        </w:rPr>
        <w:footnoteRef/>
      </w:r>
      <w:r w:rsidRPr="00985563">
        <w:t xml:space="preserve"> </w:t>
      </w:r>
      <w:r w:rsidRPr="00F07121">
        <w:t>This unlawful employment practice related to disability as described in ORS 659A.112 applies to employers who employ six or more persons (ORS 659A.106).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1B93" w14:textId="77777777" w:rsidR="007F71E7" w:rsidRPr="0093520B" w:rsidRDefault="007F7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F56F" w14:textId="77777777" w:rsidR="007F71E7" w:rsidRDefault="007F71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9A5F0" w14:textId="77777777" w:rsidR="007F71E7" w:rsidRDefault="007F7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doNotTrackFormatting/>
  <w:defaultTabStop w:val="720"/>
  <w:clickAndTypeStyle w:val="PolicyTitleBox"/>
  <w:characterSpacingControl w:val="doNotCompress"/>
  <w:hdrShapeDefaults>
    <o:shapedefaults v:ext="edit" spidmax="798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2731C"/>
    <w:rsid w:val="000376CE"/>
    <w:rsid w:val="000511CD"/>
    <w:rsid w:val="00052BE8"/>
    <w:rsid w:val="000577C7"/>
    <w:rsid w:val="000617BB"/>
    <w:rsid w:val="0007087A"/>
    <w:rsid w:val="00074380"/>
    <w:rsid w:val="00083481"/>
    <w:rsid w:val="00093AF4"/>
    <w:rsid w:val="00093EC6"/>
    <w:rsid w:val="00094735"/>
    <w:rsid w:val="00095F9B"/>
    <w:rsid w:val="00096B9C"/>
    <w:rsid w:val="000A058D"/>
    <w:rsid w:val="000A132A"/>
    <w:rsid w:val="000A2D80"/>
    <w:rsid w:val="000A2FE8"/>
    <w:rsid w:val="000A6A9E"/>
    <w:rsid w:val="000A6F91"/>
    <w:rsid w:val="000A7EC5"/>
    <w:rsid w:val="000B092A"/>
    <w:rsid w:val="000B456D"/>
    <w:rsid w:val="000B75D8"/>
    <w:rsid w:val="000C546F"/>
    <w:rsid w:val="000C79F7"/>
    <w:rsid w:val="000D522B"/>
    <w:rsid w:val="000E2131"/>
    <w:rsid w:val="000E514B"/>
    <w:rsid w:val="000F261A"/>
    <w:rsid w:val="000F30CA"/>
    <w:rsid w:val="000F64C2"/>
    <w:rsid w:val="000F710F"/>
    <w:rsid w:val="000F7910"/>
    <w:rsid w:val="00107924"/>
    <w:rsid w:val="0011743F"/>
    <w:rsid w:val="00123136"/>
    <w:rsid w:val="00124343"/>
    <w:rsid w:val="00125E1F"/>
    <w:rsid w:val="00137065"/>
    <w:rsid w:val="001479B1"/>
    <w:rsid w:val="00150646"/>
    <w:rsid w:val="00151EC6"/>
    <w:rsid w:val="00156EA7"/>
    <w:rsid w:val="0018025F"/>
    <w:rsid w:val="001844AA"/>
    <w:rsid w:val="001946FA"/>
    <w:rsid w:val="001A77BD"/>
    <w:rsid w:val="001A7963"/>
    <w:rsid w:val="001B2BDD"/>
    <w:rsid w:val="001C1D43"/>
    <w:rsid w:val="001C3978"/>
    <w:rsid w:val="001C5C15"/>
    <w:rsid w:val="001E1260"/>
    <w:rsid w:val="001E6890"/>
    <w:rsid w:val="001E7AE7"/>
    <w:rsid w:val="001F4D2D"/>
    <w:rsid w:val="001F52BA"/>
    <w:rsid w:val="0021369D"/>
    <w:rsid w:val="00213DAC"/>
    <w:rsid w:val="00217190"/>
    <w:rsid w:val="00224022"/>
    <w:rsid w:val="00241A35"/>
    <w:rsid w:val="00246025"/>
    <w:rsid w:val="002470BC"/>
    <w:rsid w:val="00247F70"/>
    <w:rsid w:val="0025592C"/>
    <w:rsid w:val="0027323B"/>
    <w:rsid w:val="0028031C"/>
    <w:rsid w:val="00280B93"/>
    <w:rsid w:val="002821D2"/>
    <w:rsid w:val="00284A5E"/>
    <w:rsid w:val="00286D2D"/>
    <w:rsid w:val="002A7657"/>
    <w:rsid w:val="002C77C7"/>
    <w:rsid w:val="002D0B87"/>
    <w:rsid w:val="002F2FA0"/>
    <w:rsid w:val="002F3F0B"/>
    <w:rsid w:val="002F4D33"/>
    <w:rsid w:val="002F7C67"/>
    <w:rsid w:val="00305489"/>
    <w:rsid w:val="00306B03"/>
    <w:rsid w:val="00311B2D"/>
    <w:rsid w:val="003233D7"/>
    <w:rsid w:val="003234E0"/>
    <w:rsid w:val="00342D85"/>
    <w:rsid w:val="00346329"/>
    <w:rsid w:val="00354BAF"/>
    <w:rsid w:val="00355C5E"/>
    <w:rsid w:val="00363573"/>
    <w:rsid w:val="00363AE7"/>
    <w:rsid w:val="00367B06"/>
    <w:rsid w:val="00370589"/>
    <w:rsid w:val="00376395"/>
    <w:rsid w:val="003804C0"/>
    <w:rsid w:val="00385E10"/>
    <w:rsid w:val="003915B0"/>
    <w:rsid w:val="003B3329"/>
    <w:rsid w:val="003B34D4"/>
    <w:rsid w:val="003C2CD2"/>
    <w:rsid w:val="003D3AE9"/>
    <w:rsid w:val="003E6E0C"/>
    <w:rsid w:val="003E6F35"/>
    <w:rsid w:val="003F7B66"/>
    <w:rsid w:val="00415660"/>
    <w:rsid w:val="00415A69"/>
    <w:rsid w:val="00416382"/>
    <w:rsid w:val="004347FA"/>
    <w:rsid w:val="00440997"/>
    <w:rsid w:val="00443C38"/>
    <w:rsid w:val="00453EF5"/>
    <w:rsid w:val="00455739"/>
    <w:rsid w:val="00456577"/>
    <w:rsid w:val="00472B26"/>
    <w:rsid w:val="00480AC4"/>
    <w:rsid w:val="00481304"/>
    <w:rsid w:val="00484B66"/>
    <w:rsid w:val="00490A75"/>
    <w:rsid w:val="0049277F"/>
    <w:rsid w:val="00494174"/>
    <w:rsid w:val="004C1EE4"/>
    <w:rsid w:val="004C2F7D"/>
    <w:rsid w:val="004E3582"/>
    <w:rsid w:val="004F10DB"/>
    <w:rsid w:val="004F53EB"/>
    <w:rsid w:val="0050280F"/>
    <w:rsid w:val="005130E3"/>
    <w:rsid w:val="0051750D"/>
    <w:rsid w:val="00523C86"/>
    <w:rsid w:val="00524F11"/>
    <w:rsid w:val="00526E63"/>
    <w:rsid w:val="005306C7"/>
    <w:rsid w:val="005342BD"/>
    <w:rsid w:val="00536354"/>
    <w:rsid w:val="005406E8"/>
    <w:rsid w:val="00543474"/>
    <w:rsid w:val="00556733"/>
    <w:rsid w:val="00557E6B"/>
    <w:rsid w:val="005615C8"/>
    <w:rsid w:val="00571B6A"/>
    <w:rsid w:val="00573A5C"/>
    <w:rsid w:val="005740B2"/>
    <w:rsid w:val="00585C9B"/>
    <w:rsid w:val="005A0A48"/>
    <w:rsid w:val="005A1A34"/>
    <w:rsid w:val="005A4EEB"/>
    <w:rsid w:val="005A6BFA"/>
    <w:rsid w:val="005B2AFC"/>
    <w:rsid w:val="005C1564"/>
    <w:rsid w:val="005E06B3"/>
    <w:rsid w:val="005E3F0A"/>
    <w:rsid w:val="005F3316"/>
    <w:rsid w:val="005F4B95"/>
    <w:rsid w:val="0060463A"/>
    <w:rsid w:val="00612A9D"/>
    <w:rsid w:val="0061672C"/>
    <w:rsid w:val="00620A00"/>
    <w:rsid w:val="00621D2B"/>
    <w:rsid w:val="00624288"/>
    <w:rsid w:val="0062603D"/>
    <w:rsid w:val="006269D4"/>
    <w:rsid w:val="00634B0E"/>
    <w:rsid w:val="00642152"/>
    <w:rsid w:val="00645006"/>
    <w:rsid w:val="00645797"/>
    <w:rsid w:val="006465CF"/>
    <w:rsid w:val="006512E5"/>
    <w:rsid w:val="0065224D"/>
    <w:rsid w:val="00660AC5"/>
    <w:rsid w:val="00662E7C"/>
    <w:rsid w:val="006630A3"/>
    <w:rsid w:val="006674FC"/>
    <w:rsid w:val="006705C2"/>
    <w:rsid w:val="006728D3"/>
    <w:rsid w:val="00684386"/>
    <w:rsid w:val="00685AAF"/>
    <w:rsid w:val="00695030"/>
    <w:rsid w:val="00695431"/>
    <w:rsid w:val="0069687A"/>
    <w:rsid w:val="006A0245"/>
    <w:rsid w:val="006A7FA4"/>
    <w:rsid w:val="006B088B"/>
    <w:rsid w:val="006B2633"/>
    <w:rsid w:val="006B4FC2"/>
    <w:rsid w:val="006B5D77"/>
    <w:rsid w:val="006C611F"/>
    <w:rsid w:val="006D73DA"/>
    <w:rsid w:val="006E1F91"/>
    <w:rsid w:val="006E544D"/>
    <w:rsid w:val="006E5941"/>
    <w:rsid w:val="006E71CD"/>
    <w:rsid w:val="00700E92"/>
    <w:rsid w:val="00702FA6"/>
    <w:rsid w:val="007033B4"/>
    <w:rsid w:val="00704768"/>
    <w:rsid w:val="0073390E"/>
    <w:rsid w:val="00734CF6"/>
    <w:rsid w:val="00737933"/>
    <w:rsid w:val="007405D2"/>
    <w:rsid w:val="007443E2"/>
    <w:rsid w:val="007519A6"/>
    <w:rsid w:val="00752B2D"/>
    <w:rsid w:val="00754B98"/>
    <w:rsid w:val="007610AA"/>
    <w:rsid w:val="00763A99"/>
    <w:rsid w:val="00782930"/>
    <w:rsid w:val="00784DE2"/>
    <w:rsid w:val="00787D10"/>
    <w:rsid w:val="00791FEA"/>
    <w:rsid w:val="007A0E9B"/>
    <w:rsid w:val="007A0FD8"/>
    <w:rsid w:val="007A3694"/>
    <w:rsid w:val="007A7F92"/>
    <w:rsid w:val="007B228A"/>
    <w:rsid w:val="007B384B"/>
    <w:rsid w:val="007B5AE5"/>
    <w:rsid w:val="007D02D3"/>
    <w:rsid w:val="007E1DE8"/>
    <w:rsid w:val="007E3300"/>
    <w:rsid w:val="007E4701"/>
    <w:rsid w:val="007E552F"/>
    <w:rsid w:val="007E6D3F"/>
    <w:rsid w:val="007E7028"/>
    <w:rsid w:val="007F0455"/>
    <w:rsid w:val="007F71E7"/>
    <w:rsid w:val="008073B2"/>
    <w:rsid w:val="008152CF"/>
    <w:rsid w:val="00824B84"/>
    <w:rsid w:val="00830ED8"/>
    <w:rsid w:val="00835AD6"/>
    <w:rsid w:val="00844CD8"/>
    <w:rsid w:val="00850A44"/>
    <w:rsid w:val="00850B8A"/>
    <w:rsid w:val="00870BED"/>
    <w:rsid w:val="008740A8"/>
    <w:rsid w:val="00882C0D"/>
    <w:rsid w:val="00890313"/>
    <w:rsid w:val="00894D80"/>
    <w:rsid w:val="00897A86"/>
    <w:rsid w:val="008A156E"/>
    <w:rsid w:val="008A2D8F"/>
    <w:rsid w:val="008A3BAF"/>
    <w:rsid w:val="008B0925"/>
    <w:rsid w:val="008B6FAC"/>
    <w:rsid w:val="008B730B"/>
    <w:rsid w:val="008D227B"/>
    <w:rsid w:val="008D663E"/>
    <w:rsid w:val="008D7FF0"/>
    <w:rsid w:val="008E165C"/>
    <w:rsid w:val="008E1CAE"/>
    <w:rsid w:val="008F4D57"/>
    <w:rsid w:val="0090290E"/>
    <w:rsid w:val="00907FA5"/>
    <w:rsid w:val="00912BAC"/>
    <w:rsid w:val="00923DF3"/>
    <w:rsid w:val="00923DFB"/>
    <w:rsid w:val="009252D1"/>
    <w:rsid w:val="009317A1"/>
    <w:rsid w:val="0093520B"/>
    <w:rsid w:val="00940E79"/>
    <w:rsid w:val="009510E8"/>
    <w:rsid w:val="009510FB"/>
    <w:rsid w:val="00960D23"/>
    <w:rsid w:val="00963266"/>
    <w:rsid w:val="00963BA6"/>
    <w:rsid w:val="00967B02"/>
    <w:rsid w:val="0097086C"/>
    <w:rsid w:val="00972985"/>
    <w:rsid w:val="00976D56"/>
    <w:rsid w:val="00976F42"/>
    <w:rsid w:val="00977D62"/>
    <w:rsid w:val="009816CA"/>
    <w:rsid w:val="00982566"/>
    <w:rsid w:val="00982B4E"/>
    <w:rsid w:val="009854C4"/>
    <w:rsid w:val="00985563"/>
    <w:rsid w:val="009A42F6"/>
    <w:rsid w:val="009A5231"/>
    <w:rsid w:val="009B1678"/>
    <w:rsid w:val="009B29F4"/>
    <w:rsid w:val="009C3CCD"/>
    <w:rsid w:val="009C4D2A"/>
    <w:rsid w:val="009D427B"/>
    <w:rsid w:val="009D6C26"/>
    <w:rsid w:val="009F2011"/>
    <w:rsid w:val="009F24C0"/>
    <w:rsid w:val="009F4F41"/>
    <w:rsid w:val="009F694C"/>
    <w:rsid w:val="009F69DF"/>
    <w:rsid w:val="009F7274"/>
    <w:rsid w:val="00A15392"/>
    <w:rsid w:val="00A20986"/>
    <w:rsid w:val="00A268EF"/>
    <w:rsid w:val="00A312B5"/>
    <w:rsid w:val="00A419BB"/>
    <w:rsid w:val="00A42884"/>
    <w:rsid w:val="00A548A2"/>
    <w:rsid w:val="00A61DAA"/>
    <w:rsid w:val="00A67A74"/>
    <w:rsid w:val="00A7204A"/>
    <w:rsid w:val="00A83A12"/>
    <w:rsid w:val="00A90C70"/>
    <w:rsid w:val="00A967F8"/>
    <w:rsid w:val="00AA1904"/>
    <w:rsid w:val="00AA6BE1"/>
    <w:rsid w:val="00AA7F59"/>
    <w:rsid w:val="00AB001F"/>
    <w:rsid w:val="00AB5C2E"/>
    <w:rsid w:val="00AC3EDD"/>
    <w:rsid w:val="00AC5141"/>
    <w:rsid w:val="00AC6972"/>
    <w:rsid w:val="00AD7A35"/>
    <w:rsid w:val="00AE1154"/>
    <w:rsid w:val="00AF3E4D"/>
    <w:rsid w:val="00AF3F7B"/>
    <w:rsid w:val="00AF5306"/>
    <w:rsid w:val="00AF6F27"/>
    <w:rsid w:val="00B01ACE"/>
    <w:rsid w:val="00B04433"/>
    <w:rsid w:val="00B13B29"/>
    <w:rsid w:val="00B233F2"/>
    <w:rsid w:val="00B239E5"/>
    <w:rsid w:val="00B24778"/>
    <w:rsid w:val="00B33389"/>
    <w:rsid w:val="00B3442C"/>
    <w:rsid w:val="00B36427"/>
    <w:rsid w:val="00B4113F"/>
    <w:rsid w:val="00B43F5F"/>
    <w:rsid w:val="00B4406E"/>
    <w:rsid w:val="00B44352"/>
    <w:rsid w:val="00B45988"/>
    <w:rsid w:val="00B637AA"/>
    <w:rsid w:val="00B659D3"/>
    <w:rsid w:val="00B66831"/>
    <w:rsid w:val="00B70CD3"/>
    <w:rsid w:val="00B71215"/>
    <w:rsid w:val="00B76A55"/>
    <w:rsid w:val="00B80BEC"/>
    <w:rsid w:val="00B90483"/>
    <w:rsid w:val="00B93330"/>
    <w:rsid w:val="00B94A90"/>
    <w:rsid w:val="00B974C5"/>
    <w:rsid w:val="00BA02CC"/>
    <w:rsid w:val="00BA109B"/>
    <w:rsid w:val="00BA54B2"/>
    <w:rsid w:val="00BA6E82"/>
    <w:rsid w:val="00BB2371"/>
    <w:rsid w:val="00BB5C56"/>
    <w:rsid w:val="00BC6660"/>
    <w:rsid w:val="00BC6D2F"/>
    <w:rsid w:val="00BC7740"/>
    <w:rsid w:val="00BD45BD"/>
    <w:rsid w:val="00BD65DF"/>
    <w:rsid w:val="00BE2930"/>
    <w:rsid w:val="00BE44C8"/>
    <w:rsid w:val="00BE450C"/>
    <w:rsid w:val="00BE5306"/>
    <w:rsid w:val="00BE5ECB"/>
    <w:rsid w:val="00BF1386"/>
    <w:rsid w:val="00BF17B8"/>
    <w:rsid w:val="00BF2391"/>
    <w:rsid w:val="00BF6E10"/>
    <w:rsid w:val="00C0243F"/>
    <w:rsid w:val="00C04F63"/>
    <w:rsid w:val="00C07E1D"/>
    <w:rsid w:val="00C10DA7"/>
    <w:rsid w:val="00C11107"/>
    <w:rsid w:val="00C1538D"/>
    <w:rsid w:val="00C21664"/>
    <w:rsid w:val="00C25368"/>
    <w:rsid w:val="00C33AB4"/>
    <w:rsid w:val="00C36BE9"/>
    <w:rsid w:val="00C42489"/>
    <w:rsid w:val="00C425A3"/>
    <w:rsid w:val="00C42B19"/>
    <w:rsid w:val="00C430FD"/>
    <w:rsid w:val="00C43912"/>
    <w:rsid w:val="00C4616D"/>
    <w:rsid w:val="00C53FCD"/>
    <w:rsid w:val="00C54FDF"/>
    <w:rsid w:val="00C71516"/>
    <w:rsid w:val="00C82AB8"/>
    <w:rsid w:val="00C92F74"/>
    <w:rsid w:val="00CA16DC"/>
    <w:rsid w:val="00CB067E"/>
    <w:rsid w:val="00CB18D4"/>
    <w:rsid w:val="00CB5D00"/>
    <w:rsid w:val="00CB6602"/>
    <w:rsid w:val="00CC04D9"/>
    <w:rsid w:val="00CC11B1"/>
    <w:rsid w:val="00CC2690"/>
    <w:rsid w:val="00CC51C3"/>
    <w:rsid w:val="00CC7D46"/>
    <w:rsid w:val="00CD7F4C"/>
    <w:rsid w:val="00CE3549"/>
    <w:rsid w:val="00CE482D"/>
    <w:rsid w:val="00CF6EF5"/>
    <w:rsid w:val="00CF70C8"/>
    <w:rsid w:val="00D01C38"/>
    <w:rsid w:val="00D05FD8"/>
    <w:rsid w:val="00D113C8"/>
    <w:rsid w:val="00D11450"/>
    <w:rsid w:val="00D13611"/>
    <w:rsid w:val="00D158C5"/>
    <w:rsid w:val="00D334C3"/>
    <w:rsid w:val="00D33F63"/>
    <w:rsid w:val="00D37878"/>
    <w:rsid w:val="00D4493C"/>
    <w:rsid w:val="00D55ABF"/>
    <w:rsid w:val="00D65180"/>
    <w:rsid w:val="00D7233F"/>
    <w:rsid w:val="00D73909"/>
    <w:rsid w:val="00D7490B"/>
    <w:rsid w:val="00D82C4F"/>
    <w:rsid w:val="00D85D37"/>
    <w:rsid w:val="00D87B51"/>
    <w:rsid w:val="00D97F99"/>
    <w:rsid w:val="00DA24B8"/>
    <w:rsid w:val="00DA7DAD"/>
    <w:rsid w:val="00DD155A"/>
    <w:rsid w:val="00DE0C18"/>
    <w:rsid w:val="00DF0AE6"/>
    <w:rsid w:val="00DF464B"/>
    <w:rsid w:val="00E009DD"/>
    <w:rsid w:val="00E0539F"/>
    <w:rsid w:val="00E07338"/>
    <w:rsid w:val="00E125C3"/>
    <w:rsid w:val="00E12B9A"/>
    <w:rsid w:val="00E34F37"/>
    <w:rsid w:val="00E37BED"/>
    <w:rsid w:val="00E43B5E"/>
    <w:rsid w:val="00E55FC7"/>
    <w:rsid w:val="00E56759"/>
    <w:rsid w:val="00E60543"/>
    <w:rsid w:val="00E67AB7"/>
    <w:rsid w:val="00E67C57"/>
    <w:rsid w:val="00E7086F"/>
    <w:rsid w:val="00E70BB8"/>
    <w:rsid w:val="00E71A63"/>
    <w:rsid w:val="00E727A4"/>
    <w:rsid w:val="00E7678F"/>
    <w:rsid w:val="00E81F69"/>
    <w:rsid w:val="00E908E7"/>
    <w:rsid w:val="00E9130E"/>
    <w:rsid w:val="00E92266"/>
    <w:rsid w:val="00EA05AE"/>
    <w:rsid w:val="00EA27B0"/>
    <w:rsid w:val="00EA3062"/>
    <w:rsid w:val="00EC519B"/>
    <w:rsid w:val="00EE49D0"/>
    <w:rsid w:val="00EF573E"/>
    <w:rsid w:val="00F01E6F"/>
    <w:rsid w:val="00F07121"/>
    <w:rsid w:val="00F14366"/>
    <w:rsid w:val="00F166D4"/>
    <w:rsid w:val="00F16CA1"/>
    <w:rsid w:val="00F3660F"/>
    <w:rsid w:val="00F45027"/>
    <w:rsid w:val="00F45D0D"/>
    <w:rsid w:val="00F47791"/>
    <w:rsid w:val="00F54A8A"/>
    <w:rsid w:val="00F56C71"/>
    <w:rsid w:val="00F6225F"/>
    <w:rsid w:val="00F65F9F"/>
    <w:rsid w:val="00F675F3"/>
    <w:rsid w:val="00F704CA"/>
    <w:rsid w:val="00F7061E"/>
    <w:rsid w:val="00F774CC"/>
    <w:rsid w:val="00F80E45"/>
    <w:rsid w:val="00F91523"/>
    <w:rsid w:val="00F938BC"/>
    <w:rsid w:val="00F94BBC"/>
    <w:rsid w:val="00FA3143"/>
    <w:rsid w:val="00FA481C"/>
    <w:rsid w:val="00FB1B1D"/>
    <w:rsid w:val="00FB3011"/>
    <w:rsid w:val="00FB52F8"/>
    <w:rsid w:val="00FC3907"/>
    <w:rsid w:val="00FC5DCB"/>
    <w:rsid w:val="00FD2B4C"/>
    <w:rsid w:val="00FD5C6A"/>
    <w:rsid w:val="00FD60A2"/>
    <w:rsid w:val="00FD6B0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ABDBD5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B067E"/>
    <w:rPr>
      <w:color w:val="0000FF"/>
      <w:u w:val="single"/>
    </w:rPr>
  </w:style>
  <w:style w:type="character" w:styleId="Hyperlink">
    <w:name w:val="Hyperlink"/>
    <w:basedOn w:val="DefaultParagraphFont"/>
    <w:uiPriority w:val="99"/>
    <w:unhideWhenUsed/>
    <w:rsid w:val="00FC5DCB"/>
    <w:rPr>
      <w:color w:val="0563C1" w:themeColor="hyperlink"/>
      <w:u w:val="single"/>
    </w:rPr>
  </w:style>
  <w:style w:type="character" w:customStyle="1" w:styleId="UnresolvedMention1">
    <w:name w:val="Unresolved Mention1"/>
    <w:basedOn w:val="DefaultParagraphFont"/>
    <w:uiPriority w:val="99"/>
    <w:semiHidden/>
    <w:unhideWhenUsed/>
    <w:rsid w:val="00FC5DCB"/>
    <w:rPr>
      <w:color w:val="605E5C"/>
      <w:shd w:val="clear" w:color="auto" w:fill="E1DFDD"/>
    </w:rPr>
  </w:style>
  <w:style w:type="character" w:styleId="FollowedHyperlink">
    <w:name w:val="FollowedHyperlink"/>
    <w:basedOn w:val="DefaultParagraphFont"/>
    <w:uiPriority w:val="99"/>
    <w:semiHidden/>
    <w:unhideWhenUsed/>
    <w:rsid w:val="00B974C5"/>
    <w:rPr>
      <w:color w:val="954F72" w:themeColor="followedHyperlink"/>
      <w:u w:val="single"/>
    </w:rPr>
  </w:style>
  <w:style w:type="paragraph" w:styleId="BalloonText">
    <w:name w:val="Balloon Text"/>
    <w:basedOn w:val="Normal"/>
    <w:link w:val="BalloonTextChar"/>
    <w:uiPriority w:val="99"/>
    <w:semiHidden/>
    <w:unhideWhenUsed/>
    <w:rsid w:val="005F4B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4B95"/>
    <w:rPr>
      <w:rFonts w:ascii="Segoe UI" w:hAnsi="Segoe UI" w:cs="Segoe UI"/>
      <w:sz w:val="18"/>
      <w:szCs w:val="18"/>
    </w:rPr>
  </w:style>
  <w:style w:type="character" w:styleId="CommentReference">
    <w:name w:val="annotation reference"/>
    <w:basedOn w:val="DefaultParagraphFont"/>
    <w:uiPriority w:val="99"/>
    <w:semiHidden/>
    <w:unhideWhenUsed/>
    <w:rsid w:val="00AA1904"/>
    <w:rPr>
      <w:sz w:val="16"/>
      <w:szCs w:val="16"/>
    </w:rPr>
  </w:style>
  <w:style w:type="paragraph" w:styleId="CommentText">
    <w:name w:val="annotation text"/>
    <w:basedOn w:val="Normal"/>
    <w:link w:val="CommentTextChar"/>
    <w:uiPriority w:val="99"/>
    <w:semiHidden/>
    <w:unhideWhenUsed/>
    <w:rsid w:val="00AA1904"/>
    <w:rPr>
      <w:sz w:val="20"/>
      <w:szCs w:val="20"/>
    </w:rPr>
  </w:style>
  <w:style w:type="character" w:customStyle="1" w:styleId="CommentTextChar">
    <w:name w:val="Comment Text Char"/>
    <w:basedOn w:val="DefaultParagraphFont"/>
    <w:link w:val="CommentText"/>
    <w:uiPriority w:val="99"/>
    <w:semiHidden/>
    <w:rsid w:val="00AA190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A1904"/>
    <w:rPr>
      <w:b/>
      <w:bCs/>
    </w:rPr>
  </w:style>
  <w:style w:type="character" w:customStyle="1" w:styleId="CommentSubjectChar">
    <w:name w:val="Comment Subject Char"/>
    <w:basedOn w:val="CommentTextChar"/>
    <w:link w:val="CommentSubject"/>
    <w:uiPriority w:val="99"/>
    <w:semiHidden/>
    <w:rsid w:val="00AA1904"/>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408" TargetMode="External"/><Relationship Id="rId26" Type="http://schemas.openxmlformats.org/officeDocument/2006/relationships/hyperlink" Target="http://policy.osba.org/orsredir.asp?ors=ors-659a" TargetMode="External"/><Relationship Id="rId39" Type="http://schemas.openxmlformats.org/officeDocument/2006/relationships/hyperlink" Target="http://policy.osba.org/orsredir.asp?ors=oar-839" TargetMode="External"/><Relationship Id="rId21" Type="http://schemas.openxmlformats.org/officeDocument/2006/relationships/hyperlink" Target="http://policy.osba.org/orsredir.asp?ors=ors-652" TargetMode="External"/><Relationship Id="rId34" Type="http://schemas.openxmlformats.org/officeDocument/2006/relationships/hyperlink" Target="http://policy.osba.org/orsredir.asp?ors=ors-659a" TargetMode="External"/><Relationship Id="rId42" Type="http://schemas.openxmlformats.org/officeDocument/2006/relationships/hyperlink" Target="http://policy.osba.org/orsredir.asp?ors=oar-839"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29" Type="http://schemas.openxmlformats.org/officeDocument/2006/relationships/hyperlink" Target="http://policy.osba.org/orsredir.asp?ors=ors-65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659a" TargetMode="External"/><Relationship Id="rId32" Type="http://schemas.openxmlformats.org/officeDocument/2006/relationships/hyperlink" Target="http://policy.osba.org/orsredir.asp?ors=ors-659a" TargetMode="External"/><Relationship Id="rId37" Type="http://schemas.openxmlformats.org/officeDocument/2006/relationships/hyperlink" Target="http://policy.osba.org/orsredir.asp?ors=oar-839" TargetMode="External"/><Relationship Id="rId40" Type="http://schemas.openxmlformats.org/officeDocument/2006/relationships/hyperlink" Target="http://policy.osba.org/orsredir.asp?ors=oar-83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hyperlink" Target="http://policy.osba.org/orsredir.asp?ors=ors-659a" TargetMode="External"/><Relationship Id="rId28" Type="http://schemas.openxmlformats.org/officeDocument/2006/relationships/hyperlink" Target="http://policy.osba.org/orsredir.asp?ors=ors-659a" TargetMode="External"/><Relationship Id="rId36"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408" TargetMode="External"/><Relationship Id="rId31" Type="http://schemas.openxmlformats.org/officeDocument/2006/relationships/hyperlink" Target="http://policy.osba.org/orsredir.asp?ors=ors-659a"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43" TargetMode="External"/><Relationship Id="rId22" Type="http://schemas.openxmlformats.org/officeDocument/2006/relationships/hyperlink" Target="http://policy.osba.org/orsredir.asp?ors=ors-659" TargetMode="External"/><Relationship Id="rId27" Type="http://schemas.openxmlformats.org/officeDocument/2006/relationships/hyperlink" Target="http://policy.osba.org/orsredir.asp?ors=ors-659a" TargetMode="External"/><Relationship Id="rId30" Type="http://schemas.openxmlformats.org/officeDocument/2006/relationships/hyperlink" Target="http://policy.osba.org/orsredir.asp?ors=ors-659a" TargetMode="External"/><Relationship Id="rId35" Type="http://schemas.openxmlformats.org/officeDocument/2006/relationships/hyperlink" Target="http://policy.osba.org/orsredir.asp?ors=ors-659a" TargetMode="External"/><Relationship Id="rId43" Type="http://schemas.openxmlformats.org/officeDocument/2006/relationships/hyperlink" Target="http://policy.osba.org/orsredir.asp?ors=oar-839"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policy.osba.org/orsredir.asp?ors=ors-342" TargetMode="External"/><Relationship Id="rId25" Type="http://schemas.openxmlformats.org/officeDocument/2006/relationships/hyperlink" Target="http://policy.osba.org/orsredir.asp?ors=ors-659a" TargetMode="External"/><Relationship Id="rId33" Type="http://schemas.openxmlformats.org/officeDocument/2006/relationships/hyperlink" Target="http://policy.osba.org/orsredir.asp?ors=ors-659a" TargetMode="External"/><Relationship Id="rId38" Type="http://schemas.openxmlformats.org/officeDocument/2006/relationships/hyperlink" Target="http://policy.osba.org/orsredir.asp?ors=oar-839" TargetMode="External"/><Relationship Id="rId46" Type="http://schemas.microsoft.com/office/2011/relationships/people" Target="people.xml"/><Relationship Id="rId20" Type="http://schemas.openxmlformats.org/officeDocument/2006/relationships/hyperlink" Target="http://policy.osba.org/orsredir.asp?ors=ors-408" TargetMode="External"/><Relationship Id="rId41" Type="http://schemas.openxmlformats.org/officeDocument/2006/relationships/hyperlink" Target="http://policy.osba.org/orsredir.asp?ors=oar-8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DBECE-B353-4B96-B077-9B8136818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Pages>
  <Words>837</Words>
  <Characters>4773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GBA - Equal Employment Opportunity</vt:lpstr>
    </vt:vector>
  </TitlesOfParts>
  <Company>OSBA</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GBA - Equal Employment Opportunity</dc:title>
  <dc:subject>SCH Board Policy</dc:subject>
  <dc:creator>Oregon School Boards Association</dc:creator>
  <cp:keywords/>
  <dc:description/>
  <cp:lastModifiedBy>Colleen Allen</cp:lastModifiedBy>
  <cp:revision>27</cp:revision>
  <cp:lastPrinted>2019-11-04T22:38:00Z</cp:lastPrinted>
  <dcterms:created xsi:type="dcterms:W3CDTF">2019-11-26T00:37:00Z</dcterms:created>
  <dcterms:modified xsi:type="dcterms:W3CDTF">2021-10-05T14:01:00Z</dcterms:modified>
</cp:coreProperties>
</file>