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1EE84" w14:textId="77777777" w:rsidR="002B17C3" w:rsidRPr="00976D56" w:rsidRDefault="002B17C3" w:rsidP="001E1260">
      <w:pPr>
        <w:pStyle w:val="PolicyTitleBox"/>
      </w:pPr>
      <w:r>
        <w:t>OSBA Model Sample Policy</w:t>
      </w:r>
    </w:p>
    <w:p w14:paraId="4088195E" w14:textId="77777777" w:rsidR="00CC7D46" w:rsidRDefault="00CC7D46" w:rsidP="00CC7D46"/>
    <w:p w14:paraId="40420417" w14:textId="77777777" w:rsidR="001E1260" w:rsidRDefault="001E1260" w:rsidP="001E1260">
      <w:pPr>
        <w:pStyle w:val="PolicyCode"/>
      </w:pPr>
      <w:r>
        <w:t>Code:</w:t>
      </w:r>
      <w:r>
        <w:tab/>
      </w:r>
      <w:r w:rsidR="005157A4">
        <w:t>IB</w:t>
      </w:r>
    </w:p>
    <w:p w14:paraId="3FA3B122" w14:textId="77777777" w:rsidR="001E1260" w:rsidRDefault="001E1260" w:rsidP="001E1260">
      <w:pPr>
        <w:pStyle w:val="PolicyCode"/>
      </w:pPr>
      <w:r>
        <w:t>Adopted:</w:t>
      </w:r>
      <w:r>
        <w:tab/>
      </w:r>
    </w:p>
    <w:p w14:paraId="05CF49D6" w14:textId="77777777" w:rsidR="001E1260" w:rsidRPr="001E1260" w:rsidRDefault="001E1260" w:rsidP="00CC7D46"/>
    <w:p w14:paraId="7C503A1B" w14:textId="77777777" w:rsidR="005157A4" w:rsidRDefault="005157A4" w:rsidP="00EF573E">
      <w:pPr>
        <w:pStyle w:val="PolicyTitle"/>
      </w:pPr>
      <w:r>
        <w:t>Freedom of Expression</w:t>
      </w:r>
    </w:p>
    <w:p w14:paraId="2CD213D2" w14:textId="77777777" w:rsidR="00EF573E" w:rsidRDefault="00EF573E" w:rsidP="00EF573E"/>
    <w:p w14:paraId="124F3C6E" w14:textId="77777777" w:rsidR="005157A4" w:rsidRDefault="005157A4" w:rsidP="005157A4">
      <w:pPr>
        <w:pStyle w:val="PolicyBodyText"/>
      </w:pPr>
      <w:r>
        <w:t>Students have a general right to freedom of expression within the school system. The district requires that students exercise their rights fairly, responsibly and in a manner not disruptive to other individuals or to the educational process.</w:t>
      </w:r>
    </w:p>
    <w:p w14:paraId="04CDF2F9" w14:textId="77777777" w:rsidR="005157A4" w:rsidRDefault="005157A4" w:rsidP="005157A4">
      <w:pPr>
        <w:pStyle w:val="PolicyBodyText"/>
      </w:pPr>
    </w:p>
    <w:p w14:paraId="6BEEF7F9" w14:textId="77777777" w:rsidR="005157A4" w:rsidRPr="005157A4" w:rsidRDefault="005157A4" w:rsidP="005157A4">
      <w:pPr>
        <w:pStyle w:val="PolicyBodyText"/>
        <w:rPr>
          <w:b/>
        </w:rPr>
      </w:pPr>
      <w:r w:rsidRPr="005157A4">
        <w:rPr>
          <w:b/>
        </w:rPr>
        <w:t>Freedom of Student Inquiry and Expression</w:t>
      </w:r>
    </w:p>
    <w:p w14:paraId="49ABEA2B" w14:textId="77777777" w:rsidR="005157A4" w:rsidRDefault="005157A4" w:rsidP="005157A4">
      <w:pPr>
        <w:pStyle w:val="PolicyBodyText"/>
      </w:pPr>
    </w:p>
    <w:p w14:paraId="63433DE0" w14:textId="77777777" w:rsidR="005157A4" w:rsidRDefault="005157A4" w:rsidP="005157A4">
      <w:pPr>
        <w:pStyle w:val="Level1"/>
      </w:pPr>
      <w:r>
        <w:t>Generally, students and student organizations are free to examine and discuss questions of interest to them and to express opinions publicly and privately within the school system, provided such examination and expression is fair and responsible and is not disruptive to other individuals or to the educational process. Students may support or oppose causes by orderly means which do not disrupt other individuals or the operation of the school.</w:t>
      </w:r>
    </w:p>
    <w:p w14:paraId="25A99471" w14:textId="77777777" w:rsidR="005157A4" w:rsidRDefault="005157A4" w:rsidP="005157A4">
      <w:pPr>
        <w:pStyle w:val="Level1"/>
      </w:pPr>
      <w:r>
        <w:t>In the classroom, students are free to examine views offered in any course of study, provided such examination is expressed in a responsible manner.</w:t>
      </w:r>
    </w:p>
    <w:p w14:paraId="75B07343" w14:textId="77777777" w:rsidR="005157A4" w:rsidRPr="005157A4" w:rsidRDefault="005157A4" w:rsidP="005157A4">
      <w:pPr>
        <w:pStyle w:val="PolicyBodyText"/>
        <w:rPr>
          <w:b/>
        </w:rPr>
      </w:pPr>
      <w:r w:rsidRPr="005157A4">
        <w:rPr>
          <w:b/>
        </w:rPr>
        <w:t>Freedom of Association</w:t>
      </w:r>
    </w:p>
    <w:p w14:paraId="0D42C4BC" w14:textId="77777777" w:rsidR="005157A4" w:rsidRDefault="005157A4" w:rsidP="005157A4">
      <w:pPr>
        <w:pStyle w:val="PolicyBodyText"/>
      </w:pPr>
    </w:p>
    <w:p w14:paraId="55820948" w14:textId="12E0AD24" w:rsidR="005157A4" w:rsidRDefault="005157A4" w:rsidP="005157A4">
      <w:pPr>
        <w:pStyle w:val="PolicyBodyText"/>
      </w:pPr>
      <w:r>
        <w:t xml:space="preserve">Students are free to organize associations to promote their common interests. Student organizations should be open to all students. Membership criteria may not exclude students on the basis of age, race, religion, color, national origin, disability, marital status, </w:t>
      </w:r>
      <w:r w:rsidR="001D1A98" w:rsidRPr="00896784">
        <w:rPr>
          <w:highlight w:val="darkGray"/>
        </w:rPr>
        <w:t xml:space="preserve">familial status, parental status, linguistic background, culture, socioeconomic status, capability, geographic location, </w:t>
      </w:r>
      <w:r>
        <w:t>sex</w:t>
      </w:r>
      <w:r w:rsidR="00FB6E5A" w:rsidRPr="001F4C2C">
        <w:rPr>
          <w:highlight w:val="darkGray"/>
        </w:rPr>
        <w:t>,</w:t>
      </w:r>
      <w:r>
        <w:t xml:space="preserve"> </w:t>
      </w:r>
      <w:del w:id="0" w:author="Leslie Fisher" w:date="2021-07-14T11:45:00Z">
        <w:r w:rsidDel="00FB6E5A">
          <w:delText xml:space="preserve">or </w:delText>
        </w:r>
      </w:del>
      <w:r>
        <w:t>sexual orientation</w:t>
      </w:r>
      <w:r w:rsidR="00FB6E5A" w:rsidRPr="001F4C2C">
        <w:rPr>
          <w:highlight w:val="darkGray"/>
        </w:rPr>
        <w:t xml:space="preserve"> or gender identity</w:t>
      </w:r>
      <w:r>
        <w:t>. Each student organization must have a staff adviser to counsel and, when necessary, supervise students in the organization. All student organizations must submit to the school a statement of purpose, criteria for membership, rules and procedures</w:t>
      </w:r>
      <w:r w:rsidR="004628B6" w:rsidRPr="00896784">
        <w:rPr>
          <w:highlight w:val="darkGray"/>
        </w:rPr>
        <w:t>[</w:t>
      </w:r>
      <w:r>
        <w:t xml:space="preserve"> and a current list of officers</w:t>
      </w:r>
      <w:r w:rsidR="004628B6" w:rsidRPr="00896784">
        <w:rPr>
          <w:highlight w:val="darkGray"/>
        </w:rPr>
        <w:t>]</w:t>
      </w:r>
      <w:r>
        <w:t>. School administrators may establish reasonable rules and regulations governing the activity of student organizations.</w:t>
      </w:r>
    </w:p>
    <w:p w14:paraId="78AAF6B4" w14:textId="77777777" w:rsidR="005157A4" w:rsidRDefault="005157A4" w:rsidP="005157A4">
      <w:pPr>
        <w:pStyle w:val="PolicyBodyText"/>
      </w:pPr>
    </w:p>
    <w:p w14:paraId="51C758A4" w14:textId="77777777" w:rsidR="005157A4" w:rsidRPr="005157A4" w:rsidRDefault="005157A4" w:rsidP="005157A4">
      <w:pPr>
        <w:pStyle w:val="PolicyBodyText"/>
        <w:rPr>
          <w:b/>
        </w:rPr>
      </w:pPr>
      <w:r w:rsidRPr="005157A4">
        <w:rPr>
          <w:b/>
        </w:rPr>
        <w:t>Publications K-8, Displays and Productions</w:t>
      </w:r>
    </w:p>
    <w:p w14:paraId="67A07227" w14:textId="77777777" w:rsidR="005157A4" w:rsidRDefault="005157A4" w:rsidP="005157A4">
      <w:pPr>
        <w:pStyle w:val="PolicyBodyText"/>
      </w:pPr>
    </w:p>
    <w:p w14:paraId="11483590" w14:textId="77777777" w:rsidR="005157A4" w:rsidRDefault="005157A4" w:rsidP="005157A4">
      <w:pPr>
        <w:pStyle w:val="PolicyBodyText"/>
      </w:pPr>
      <w:r>
        <w:t>On occasion, materials such as leaflets, newsletters, cartoons and other items including displays and productions are prepared, produced and/or distributed by students as part of the educational process and free expression in an academic community. Materials may be reviewed by the administrator or may be restricted or prohibited pursuant to legitimate educational concerns. Such concerns include:</w:t>
      </w:r>
    </w:p>
    <w:p w14:paraId="1A3B7E4D" w14:textId="77777777" w:rsidR="005157A4" w:rsidRDefault="005157A4" w:rsidP="005157A4">
      <w:pPr>
        <w:pStyle w:val="PolicyBodyText"/>
      </w:pPr>
    </w:p>
    <w:p w14:paraId="77691128" w14:textId="77777777" w:rsidR="005157A4" w:rsidRDefault="005157A4" w:rsidP="001F0605">
      <w:pPr>
        <w:pStyle w:val="Level1"/>
        <w:numPr>
          <w:ilvl w:val="0"/>
          <w:numId w:val="16"/>
        </w:numPr>
      </w:pPr>
      <w:r>
        <w:t>The material is or may be defamatory;</w:t>
      </w:r>
    </w:p>
    <w:p w14:paraId="14C42CC9" w14:textId="77777777" w:rsidR="005157A4" w:rsidRDefault="005157A4" w:rsidP="005157A4">
      <w:pPr>
        <w:pStyle w:val="Level1"/>
      </w:pPr>
      <w:r>
        <w:t>The material is inappropriate based on the age, grade level and/or maturity of the audience;</w:t>
      </w:r>
    </w:p>
    <w:p w14:paraId="44F6DB3C" w14:textId="77777777" w:rsidR="005157A4" w:rsidRDefault="005157A4" w:rsidP="005157A4">
      <w:pPr>
        <w:pStyle w:val="Level1"/>
      </w:pPr>
      <w:r>
        <w:t>The material is poorly written, inadequately researched, biased or prejudiced;</w:t>
      </w:r>
    </w:p>
    <w:p w14:paraId="4D4559D3" w14:textId="77777777" w:rsidR="005157A4" w:rsidRDefault="005157A4" w:rsidP="005157A4">
      <w:pPr>
        <w:pStyle w:val="Level1"/>
      </w:pPr>
      <w:r>
        <w:t>Whether there is an opportunity for a named individual or named individuals to make a response;</w:t>
      </w:r>
    </w:p>
    <w:p w14:paraId="7893C300" w14:textId="77777777" w:rsidR="005157A4" w:rsidRDefault="005157A4" w:rsidP="005157A4">
      <w:pPr>
        <w:pStyle w:val="Level1"/>
      </w:pPr>
      <w:r>
        <w:t>Whether specific individuals may be identified even though the material does not use or give names;</w:t>
      </w:r>
    </w:p>
    <w:p w14:paraId="57ACBE8D" w14:textId="77777777" w:rsidR="005157A4" w:rsidRDefault="005157A4" w:rsidP="001F0605">
      <w:pPr>
        <w:pStyle w:val="Level1"/>
      </w:pPr>
      <w:r>
        <w:lastRenderedPageBreak/>
        <w:t>The material is or may be otherwise generally disruptive to the school environment. Such disruption may occur, e.g., if the material uses, advocates or condones the use of profane language or advocates or condones the commission of unlawful acts;</w:t>
      </w:r>
    </w:p>
    <w:p w14:paraId="19170243" w14:textId="77777777" w:rsidR="005157A4" w:rsidRDefault="005157A4" w:rsidP="005157A4">
      <w:pPr>
        <w:pStyle w:val="Level1"/>
      </w:pPr>
      <w:r>
        <w:t>Students, parents and members of the public might reasonably perceive the materials to bear the sanction or approval of the district.</w:t>
      </w:r>
    </w:p>
    <w:p w14:paraId="22BE926B" w14:textId="77777777" w:rsidR="005157A4" w:rsidRPr="005157A4" w:rsidRDefault="005157A4" w:rsidP="005157A4">
      <w:pPr>
        <w:pStyle w:val="PolicyBodyText"/>
        <w:rPr>
          <w:b/>
        </w:rPr>
      </w:pPr>
      <w:r w:rsidRPr="005157A4">
        <w:rPr>
          <w:b/>
        </w:rPr>
        <w:t>High School Student Journalists</w:t>
      </w:r>
    </w:p>
    <w:p w14:paraId="0403D0B1" w14:textId="77777777" w:rsidR="005157A4" w:rsidRDefault="005157A4" w:rsidP="005157A4">
      <w:pPr>
        <w:pStyle w:val="PolicyBodyText"/>
      </w:pPr>
    </w:p>
    <w:p w14:paraId="2169C429" w14:textId="77777777" w:rsidR="005157A4" w:rsidRDefault="005157A4" w:rsidP="005157A4">
      <w:pPr>
        <w:pStyle w:val="PolicyBodyText"/>
      </w:pPr>
      <w:r>
        <w:t>Generally, high school student journalists have the right to exercise freedom of speech and of the press in school-sponsored media. “School-sponsored media” means materials that are prepared, substantially written, published or broadcast by student journalists; that are distributed or generally made available, either free of charge or for a fee, to members of the student body; and that are prepared under the direction of a student media adviser. School-sponsored media does not include media intended for distribution or transmission solely in the classrooms in which they are produced.</w:t>
      </w:r>
    </w:p>
    <w:p w14:paraId="719712A9" w14:textId="77777777" w:rsidR="005157A4" w:rsidRDefault="005157A4" w:rsidP="005157A4">
      <w:pPr>
        <w:pStyle w:val="PolicyBodyText"/>
      </w:pPr>
    </w:p>
    <w:p w14:paraId="4BB3DF52" w14:textId="77777777" w:rsidR="005157A4" w:rsidRDefault="005157A4" w:rsidP="005157A4">
      <w:pPr>
        <w:pStyle w:val="PolicyBodyText"/>
      </w:pPr>
      <w:r>
        <w:t>School-sponsored media prepared by student journalists are subject to reasonable time, place and manner restrictions, pursuant to state and federal law. School-sponsored media cannot contain material that:</w:t>
      </w:r>
    </w:p>
    <w:p w14:paraId="4E8B256E" w14:textId="77777777" w:rsidR="005157A4" w:rsidRDefault="005157A4" w:rsidP="005157A4">
      <w:pPr>
        <w:pStyle w:val="PolicyBodyText"/>
      </w:pPr>
    </w:p>
    <w:p w14:paraId="4B27C23B" w14:textId="77777777" w:rsidR="005157A4" w:rsidRDefault="005157A4" w:rsidP="001F0605">
      <w:pPr>
        <w:pStyle w:val="Level1"/>
        <w:numPr>
          <w:ilvl w:val="0"/>
          <w:numId w:val="17"/>
        </w:numPr>
      </w:pPr>
      <w:r>
        <w:t>Is libelous or slanderous;</w:t>
      </w:r>
    </w:p>
    <w:p w14:paraId="4F532008" w14:textId="1DE60E4D" w:rsidR="005157A4" w:rsidRDefault="005157A4" w:rsidP="005157A4">
      <w:pPr>
        <w:pStyle w:val="Level1"/>
      </w:pPr>
      <w:r>
        <w:t>Is obscene, pervasively indecent or vulgar;</w:t>
      </w:r>
    </w:p>
    <w:p w14:paraId="4300C180" w14:textId="26FA3849" w:rsidR="005157A4" w:rsidRDefault="005157A4" w:rsidP="005157A4">
      <w:pPr>
        <w:pStyle w:val="Level1"/>
      </w:pPr>
      <w:r>
        <w:t>Is factually inaccurate or does not meet journalistic standards established for school-sponsored media;</w:t>
      </w:r>
    </w:p>
    <w:p w14:paraId="0F0C293D" w14:textId="77777777" w:rsidR="005157A4" w:rsidRDefault="005157A4" w:rsidP="005157A4">
      <w:pPr>
        <w:pStyle w:val="Level1"/>
      </w:pPr>
      <w:r>
        <w:t>Constitutes an unwarranted invasion of privacy;</w:t>
      </w:r>
    </w:p>
    <w:p w14:paraId="6096C58D" w14:textId="41F8EB80" w:rsidR="005157A4" w:rsidRDefault="005157A4" w:rsidP="005157A4">
      <w:pPr>
        <w:pStyle w:val="Level1"/>
      </w:pPr>
      <w:r>
        <w:t>Violates federal or state law</w:t>
      </w:r>
      <w:r w:rsidR="00B478E5" w:rsidRPr="001F4C2C">
        <w:rPr>
          <w:highlight w:val="darkGray"/>
        </w:rPr>
        <w:t xml:space="preserve"> or regulation</w:t>
      </w:r>
      <w:r>
        <w:t>; or</w:t>
      </w:r>
    </w:p>
    <w:p w14:paraId="13259B80" w14:textId="77777777" w:rsidR="005157A4" w:rsidRDefault="005157A4" w:rsidP="005157A4">
      <w:pPr>
        <w:pStyle w:val="Level1"/>
      </w:pPr>
      <w:r>
        <w:t>So incites students as to create a clear and present danger of:</w:t>
      </w:r>
    </w:p>
    <w:p w14:paraId="24CB38D8" w14:textId="77777777" w:rsidR="005157A4" w:rsidRDefault="005157A4" w:rsidP="005157A4">
      <w:pPr>
        <w:pStyle w:val="Level2"/>
      </w:pPr>
      <w:r>
        <w:t>The commission of unlawful acts on or off school premises;</w:t>
      </w:r>
    </w:p>
    <w:p w14:paraId="23508AEA" w14:textId="0D570F0C" w:rsidR="005157A4" w:rsidRDefault="005157A4" w:rsidP="005157A4">
      <w:pPr>
        <w:pStyle w:val="Level2"/>
      </w:pPr>
      <w:r>
        <w:t>The violation of district</w:t>
      </w:r>
      <w:r w:rsidR="001F4C2C" w:rsidRPr="008101AD">
        <w:rPr>
          <w:highlight w:val="darkGray"/>
        </w:rPr>
        <w:t>[</w:t>
      </w:r>
      <w:r w:rsidR="008101AD">
        <w:rPr>
          <w:highlight w:val="darkGray"/>
        </w:rPr>
        <w:t xml:space="preserve"> </w:t>
      </w:r>
      <w:r w:rsidR="00B478E5" w:rsidRPr="008101AD">
        <w:rPr>
          <w:highlight w:val="darkGray"/>
        </w:rPr>
        <w:t>o</w:t>
      </w:r>
      <w:r w:rsidR="00B478E5" w:rsidRPr="001F4C2C">
        <w:rPr>
          <w:highlight w:val="darkGray"/>
        </w:rPr>
        <w:t>r school</w:t>
      </w:r>
      <w:r w:rsidR="001F4C2C" w:rsidRPr="001F4C2C">
        <w:rPr>
          <w:highlight w:val="darkGray"/>
        </w:rPr>
        <w:t>]</w:t>
      </w:r>
      <w:r w:rsidR="00B478E5" w:rsidRPr="001F4C2C">
        <w:rPr>
          <w:highlight w:val="darkGray"/>
        </w:rPr>
        <w:t xml:space="preserve"> </w:t>
      </w:r>
      <w:r>
        <w:t>policies; or</w:t>
      </w:r>
    </w:p>
    <w:p w14:paraId="63EE01AE" w14:textId="77777777" w:rsidR="005157A4" w:rsidRDefault="005157A4" w:rsidP="005157A4">
      <w:pPr>
        <w:pStyle w:val="Level2"/>
      </w:pPr>
      <w:r>
        <w:t>The material and substantial disruption of the orderly operation of the school. A school official will base a forecast of material and substantial disruption on specific facts, including past experience in the school and current events influencing student behavior, and not on undifferentiated fear or apprehension.</w:t>
      </w:r>
    </w:p>
    <w:p w14:paraId="3CC365C6" w14:textId="67BE6B3A" w:rsidR="005157A4" w:rsidRDefault="005157A4" w:rsidP="005157A4">
      <w:pPr>
        <w:pStyle w:val="PolicyBodyText"/>
      </w:pPr>
      <w:r>
        <w:t xml:space="preserve">[Modifications or removal of items may be appealed in writing to the superintendent. The superintendent shall schedule a meeting within three school days of receiving the written appeal. Those present at the meeting shall include the individual(s) making the appeal, the individual(s) who made the decision to modify or remove materials and the superintendent. At the superintendent’s discretion, the district’s legal counsel may also attend the meeting. The superintendent shall make </w:t>
      </w:r>
      <w:del w:id="1" w:author="Leslie Fisher" w:date="2021-07-27T13:53:00Z">
        <w:r w:rsidDel="004628B6">
          <w:delText>his/her</w:delText>
        </w:r>
      </w:del>
      <w:r w:rsidR="004628B6" w:rsidRPr="00896784">
        <w:rPr>
          <w:highlight w:val="darkGray"/>
        </w:rPr>
        <w:t>a</w:t>
      </w:r>
      <w:r>
        <w:t xml:space="preserve"> decision within three school days of the meeting. [The superintendent’s decision shall be final and binding on all parties.] ]</w:t>
      </w:r>
    </w:p>
    <w:p w14:paraId="2F24368C" w14:textId="77777777" w:rsidR="001F0605" w:rsidRDefault="001F0605" w:rsidP="005157A4">
      <w:pPr>
        <w:pStyle w:val="PolicyBodyText"/>
      </w:pPr>
    </w:p>
    <w:p w14:paraId="1B4D55A1" w14:textId="77777777" w:rsidR="001F0605" w:rsidRDefault="001F0605">
      <w:pPr>
        <w:suppressAutoHyphens w:val="0"/>
        <w:spacing w:after="160" w:line="259" w:lineRule="auto"/>
      </w:pPr>
      <w:r>
        <w:br w:type="page"/>
      </w:r>
    </w:p>
    <w:p w14:paraId="00DAC0E2" w14:textId="0F52A1BC" w:rsidR="005157A4" w:rsidRDefault="005157A4" w:rsidP="005157A4">
      <w:pPr>
        <w:pStyle w:val="PolicyBodyText"/>
      </w:pPr>
      <w:r>
        <w:lastRenderedPageBreak/>
        <w:t xml:space="preserve">[If the complainant is not satisfied with the decision of the superintendent, </w:t>
      </w:r>
      <w:del w:id="2" w:author="Leslie Fisher" w:date="2021-07-14T11:53:00Z">
        <w:r w:rsidDel="00B478E5">
          <w:delText>he/she</w:delText>
        </w:r>
      </w:del>
      <w:r w:rsidR="00B478E5" w:rsidRPr="001F4C2C">
        <w:rPr>
          <w:highlight w:val="darkGray"/>
        </w:rPr>
        <w:t>the complainant</w:t>
      </w:r>
      <w:r>
        <w:t xml:space="preserve"> may appeal to the Board under established district procedures.]</w:t>
      </w:r>
    </w:p>
    <w:p w14:paraId="632644D6" w14:textId="77777777" w:rsidR="005157A4" w:rsidRDefault="005157A4" w:rsidP="005157A4">
      <w:pPr>
        <w:pStyle w:val="PolicyBodyText"/>
      </w:pPr>
    </w:p>
    <w:p w14:paraId="4E2BC26C" w14:textId="77777777" w:rsidR="005157A4" w:rsidRDefault="005157A4" w:rsidP="005157A4">
      <w:pPr>
        <w:pStyle w:val="PolicyBodyText"/>
      </w:pPr>
      <w:r>
        <w:t>END OF POLICY</w:t>
      </w:r>
    </w:p>
    <w:p w14:paraId="7FCE9820" w14:textId="77777777" w:rsidR="005157A4" w:rsidRDefault="005157A4" w:rsidP="005157A4">
      <w:pPr>
        <w:pStyle w:val="PolicyLine"/>
      </w:pPr>
    </w:p>
    <w:p w14:paraId="33AEFD3C" w14:textId="77777777" w:rsidR="005157A4" w:rsidRPr="002B61BB" w:rsidRDefault="005157A4" w:rsidP="00FB1790">
      <w:pPr>
        <w:pStyle w:val="PolicyReferencesHeading"/>
        <w:spacing w:after="0"/>
      </w:pPr>
      <w:r w:rsidRPr="005157A4">
        <w:t>Legal Reference(s):</w:t>
      </w:r>
    </w:p>
    <w:p w14:paraId="5B35B924" w14:textId="77777777" w:rsidR="005157A4" w:rsidRDefault="005157A4" w:rsidP="005157A4">
      <w:pPr>
        <w:pStyle w:val="PolicyReferences"/>
      </w:pPr>
    </w:p>
    <w:p w14:paraId="370C8BD2" w14:textId="77777777" w:rsidR="005157A4" w:rsidRDefault="005157A4" w:rsidP="005157A4">
      <w:pPr>
        <w:pStyle w:val="PolicyReferences"/>
        <w:sectPr w:rsidR="005157A4" w:rsidSect="005157A4">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5" w:name="Laws"/>
    <w:bookmarkStart w:id="6" w:name="ORS"/>
    <w:bookmarkEnd w:id="5"/>
    <w:bookmarkEnd w:id="6"/>
    <w:p w14:paraId="2288D81A" w14:textId="01640D2E" w:rsidR="00FB6E5A" w:rsidRDefault="001F4C2C" w:rsidP="005157A4">
      <w:pPr>
        <w:pStyle w:val="PolicyReferences"/>
      </w:pPr>
      <w:r w:rsidRPr="00896784">
        <w:rPr>
          <w:highlight w:val="darkGray"/>
        </w:rPr>
        <w:fldChar w:fldCharType="begin"/>
      </w:r>
      <w:r w:rsidRPr="00896784">
        <w:rPr>
          <w:highlight w:val="darkGray"/>
        </w:rPr>
        <w:instrText xml:space="preserve"> HYPERLINK "http://policy.osba.org/orsredir.asp?ors=ors-174" </w:instrText>
      </w:r>
      <w:r w:rsidRPr="00896784">
        <w:rPr>
          <w:highlight w:val="darkGray"/>
        </w:rPr>
        <w:fldChar w:fldCharType="separate"/>
      </w:r>
      <w:r w:rsidRPr="00896784">
        <w:rPr>
          <w:rStyle w:val="Hyperlink"/>
          <w:highlight w:val="darkGray"/>
        </w:rPr>
        <w:t>ORS 174</w:t>
      </w:r>
      <w:r w:rsidRPr="00896784">
        <w:rPr>
          <w:highlight w:val="darkGray"/>
        </w:rPr>
        <w:fldChar w:fldCharType="end"/>
      </w:r>
      <w:r w:rsidR="00FB6E5A" w:rsidRPr="001F4C2C">
        <w:rPr>
          <w:highlight w:val="darkGray"/>
        </w:rPr>
        <w:t>.100</w:t>
      </w:r>
    </w:p>
    <w:p w14:paraId="775CC6C9" w14:textId="5A529E66" w:rsidR="005157A4" w:rsidRPr="008101AD" w:rsidRDefault="00FB1790" w:rsidP="005157A4">
      <w:pPr>
        <w:pStyle w:val="PolicyReferences"/>
      </w:pPr>
      <w:hyperlink r:id="rId14" w:history="1">
        <w:r w:rsidR="001F4C2C" w:rsidRPr="008101AD">
          <w:rPr>
            <w:rStyle w:val="Hyperlink"/>
          </w:rPr>
          <w:t>ORS 332</w:t>
        </w:r>
      </w:hyperlink>
      <w:r w:rsidR="005157A4" w:rsidRPr="008101AD">
        <w:t>.072</w:t>
      </w:r>
    </w:p>
    <w:p w14:paraId="3D430282" w14:textId="129B05A9" w:rsidR="005157A4" w:rsidRPr="008101AD" w:rsidRDefault="00FB1790" w:rsidP="005157A4">
      <w:pPr>
        <w:pStyle w:val="PolicyReferences"/>
      </w:pPr>
      <w:hyperlink r:id="rId15" w:history="1">
        <w:r w:rsidR="001F4C2C" w:rsidRPr="008101AD">
          <w:rPr>
            <w:rStyle w:val="Hyperlink"/>
          </w:rPr>
          <w:t>ORS 332</w:t>
        </w:r>
      </w:hyperlink>
      <w:r w:rsidR="005157A4" w:rsidRPr="008101AD">
        <w:t>.107</w:t>
      </w:r>
    </w:p>
    <w:p w14:paraId="4EC407DF" w14:textId="7E24AA27" w:rsidR="005157A4" w:rsidRPr="008101AD" w:rsidRDefault="00FB1790" w:rsidP="005157A4">
      <w:pPr>
        <w:pStyle w:val="PolicyReferences"/>
      </w:pPr>
      <w:hyperlink r:id="rId16" w:history="1">
        <w:r w:rsidR="001F4C2C" w:rsidRPr="008101AD">
          <w:rPr>
            <w:rStyle w:val="Hyperlink"/>
          </w:rPr>
          <w:t>ORS 336</w:t>
        </w:r>
      </w:hyperlink>
      <w:r w:rsidR="005157A4" w:rsidRPr="008101AD">
        <w:t>.477</w:t>
      </w:r>
    </w:p>
    <w:p w14:paraId="516EDD43" w14:textId="5FA1F08C" w:rsidR="005157A4" w:rsidRPr="008101AD" w:rsidRDefault="00FB1790" w:rsidP="005157A4">
      <w:pPr>
        <w:pStyle w:val="PolicyReferences"/>
      </w:pPr>
      <w:hyperlink r:id="rId17" w:history="1">
        <w:r w:rsidR="001F4C2C" w:rsidRPr="008101AD">
          <w:rPr>
            <w:rStyle w:val="Hyperlink"/>
          </w:rPr>
          <w:t>ORS 339</w:t>
        </w:r>
      </w:hyperlink>
      <w:r w:rsidR="005157A4" w:rsidRPr="008101AD">
        <w:t>.880</w:t>
      </w:r>
    </w:p>
    <w:p w14:paraId="252B38B8" w14:textId="3E016407" w:rsidR="005157A4" w:rsidRPr="008101AD" w:rsidRDefault="00FB1790" w:rsidP="005157A4">
      <w:pPr>
        <w:pStyle w:val="PolicyReferences"/>
      </w:pPr>
      <w:hyperlink r:id="rId18" w:history="1">
        <w:r w:rsidR="001F4C2C" w:rsidRPr="008101AD">
          <w:rPr>
            <w:rStyle w:val="Hyperlink"/>
          </w:rPr>
          <w:t>ORS 339</w:t>
        </w:r>
      </w:hyperlink>
      <w:r w:rsidR="005157A4" w:rsidRPr="008101AD">
        <w:t>.885</w:t>
      </w:r>
    </w:p>
    <w:p w14:paraId="74F60AB7" w14:textId="568CEA93" w:rsidR="001F4C2C" w:rsidRDefault="00FB1790" w:rsidP="005157A4">
      <w:pPr>
        <w:pStyle w:val="PolicyReferences"/>
      </w:pPr>
      <w:hyperlink r:id="rId19" w:history="1">
        <w:r w:rsidR="001F4C2C" w:rsidRPr="00896784">
          <w:rPr>
            <w:rStyle w:val="Hyperlink"/>
            <w:highlight w:val="darkGray"/>
          </w:rPr>
          <w:t>ORS 659</w:t>
        </w:r>
      </w:hyperlink>
      <w:r w:rsidR="001F4C2C" w:rsidRPr="001F4C2C">
        <w:rPr>
          <w:highlight w:val="darkGray"/>
        </w:rPr>
        <w:t>.850</w:t>
      </w:r>
    </w:p>
    <w:bookmarkStart w:id="7" w:name="OAR"/>
    <w:bookmarkEnd w:id="7"/>
    <w:p w14:paraId="56C3AF27" w14:textId="2341DBA7" w:rsidR="005157A4" w:rsidRPr="008101AD" w:rsidRDefault="001F4C2C" w:rsidP="005157A4">
      <w:pPr>
        <w:pStyle w:val="PolicyReferences"/>
      </w:pPr>
      <w:r w:rsidRPr="008101AD">
        <w:fldChar w:fldCharType="begin"/>
      </w:r>
      <w:r w:rsidRPr="008101AD">
        <w:instrText xml:space="preserve"> HYPERLINK "http://policy.osba.org/orsredir.asp?ors=oar-581" </w:instrText>
      </w:r>
      <w:r w:rsidRPr="008101AD">
        <w:fldChar w:fldCharType="separate"/>
      </w:r>
      <w:r w:rsidRPr="008101AD">
        <w:rPr>
          <w:rStyle w:val="Hyperlink"/>
        </w:rPr>
        <w:t>OAR 581</w:t>
      </w:r>
      <w:r w:rsidRPr="008101AD">
        <w:fldChar w:fldCharType="end"/>
      </w:r>
      <w:r w:rsidR="005157A4" w:rsidRPr="008101AD">
        <w:t>-021-0050</w:t>
      </w:r>
    </w:p>
    <w:p w14:paraId="2C234CBA" w14:textId="38A10F3B" w:rsidR="005157A4" w:rsidRPr="008101AD" w:rsidRDefault="00FB1790" w:rsidP="005157A4">
      <w:pPr>
        <w:pStyle w:val="PolicyReferences"/>
        <w:sectPr w:rsidR="005157A4" w:rsidRPr="008101AD" w:rsidSect="005157A4">
          <w:footerReference w:type="default" r:id="rId20"/>
          <w:type w:val="continuous"/>
          <w:pgSz w:w="12240" w:h="15838"/>
          <w:pgMar w:top="936" w:right="720" w:bottom="720" w:left="1224" w:header="432" w:footer="720" w:gutter="0"/>
          <w:cols w:num="3" w:space="360" w:equalWidth="0">
            <w:col w:w="3192" w:space="360"/>
            <w:col w:w="3192" w:space="360"/>
            <w:col w:w="3192"/>
          </w:cols>
          <w:docGrid w:linePitch="326"/>
        </w:sectPr>
      </w:pPr>
      <w:hyperlink r:id="rId21" w:history="1">
        <w:r w:rsidR="001F4C2C" w:rsidRPr="008101AD">
          <w:rPr>
            <w:rStyle w:val="Hyperlink"/>
          </w:rPr>
          <w:t>OAR 581</w:t>
        </w:r>
      </w:hyperlink>
      <w:r w:rsidR="005157A4" w:rsidRPr="008101AD">
        <w:t>-021-0055</w:t>
      </w:r>
    </w:p>
    <w:p w14:paraId="61434213" w14:textId="77777777" w:rsidR="005157A4" w:rsidRDefault="005157A4" w:rsidP="005157A4">
      <w:pPr>
        <w:pStyle w:val="PolicyReferences"/>
      </w:pPr>
    </w:p>
    <w:p w14:paraId="6C4AD02E" w14:textId="7CD32562" w:rsidR="005157A4" w:rsidRDefault="005157A4" w:rsidP="005157A4">
      <w:pPr>
        <w:pStyle w:val="PolicyReferences"/>
      </w:pPr>
      <w:r>
        <w:t>Equal Access Act, 20 U.S.C. §§ 4071-4074 (</w:t>
      </w:r>
      <w:del w:id="8" w:author="Leslie Fisher" w:date="2021-07-14T11:46:00Z">
        <w:r w:rsidR="00292BD9" w:rsidDel="00FB6E5A">
          <w:delText>2012</w:delText>
        </w:r>
      </w:del>
      <w:r w:rsidR="00FB6E5A" w:rsidRPr="001F4C2C">
        <w:rPr>
          <w:highlight w:val="darkGray"/>
        </w:rPr>
        <w:t>2018</w:t>
      </w:r>
      <w:r>
        <w:t>).</w:t>
      </w:r>
    </w:p>
    <w:p w14:paraId="0D216987" w14:textId="77777777" w:rsidR="005157A4" w:rsidRDefault="005157A4" w:rsidP="005157A4">
      <w:pPr>
        <w:pStyle w:val="PolicyReferences"/>
      </w:pPr>
      <w:r>
        <w:t>Westside Cmty. Bd. of Educ. v. Mergens, 496 U.S. 226 (1990).</w:t>
      </w:r>
    </w:p>
    <w:p w14:paraId="55DA1A69" w14:textId="77777777" w:rsidR="005157A4" w:rsidRDefault="005157A4" w:rsidP="005157A4">
      <w:pPr>
        <w:pStyle w:val="PolicyReferences"/>
      </w:pPr>
      <w:r>
        <w:t>Hazelwood Sch. Dist. v. Kuhlmeier, 484 U.S. 260 (1988).</w:t>
      </w:r>
    </w:p>
    <w:p w14:paraId="2B341B18" w14:textId="77777777" w:rsidR="005157A4" w:rsidRDefault="005157A4" w:rsidP="005157A4">
      <w:pPr>
        <w:pStyle w:val="PolicyReferences"/>
      </w:pPr>
      <w:r w:rsidRPr="005157A4">
        <w:rPr>
          <w:smallCaps/>
        </w:rPr>
        <w:t>U.S. Const.</w:t>
      </w:r>
      <w:r>
        <w:t xml:space="preserve"> amend. I; </w:t>
      </w:r>
      <w:r w:rsidRPr="005157A4">
        <w:rPr>
          <w:smallCaps/>
        </w:rPr>
        <w:t>U.S. Const.</w:t>
      </w:r>
      <w:r>
        <w:t xml:space="preserve"> amend. XIV.</w:t>
      </w:r>
    </w:p>
    <w:p w14:paraId="09001F3F" w14:textId="4F1BEEDA" w:rsidR="005157A4" w:rsidRPr="00A31996" w:rsidRDefault="005157A4" w:rsidP="005157A4">
      <w:pPr>
        <w:pStyle w:val="PolicyReferences"/>
        <w:rPr>
          <w:highlight w:val="darkGray"/>
        </w:rPr>
      </w:pPr>
      <w:r w:rsidRPr="005157A4">
        <w:rPr>
          <w:smallCaps/>
        </w:rPr>
        <w:t>Or. Const.,</w:t>
      </w:r>
      <w:r>
        <w:t xml:space="preserve"> art. I, § 8.</w:t>
      </w:r>
    </w:p>
    <w:p w14:paraId="7DA70B97" w14:textId="509E7E76" w:rsidR="00AB1C46" w:rsidRPr="00A31996" w:rsidRDefault="00AB1C46" w:rsidP="005157A4">
      <w:pPr>
        <w:pStyle w:val="PolicyReferences"/>
        <w:rPr>
          <w:highlight w:val="darkGray"/>
        </w:rPr>
      </w:pPr>
      <w:r w:rsidRPr="00A31996">
        <w:rPr>
          <w:highlight w:val="darkGray"/>
        </w:rPr>
        <w:t>House Bill 3041 (2021).</w:t>
      </w:r>
    </w:p>
    <w:p w14:paraId="6B6657B2" w14:textId="77777777" w:rsidR="00AB1C46" w:rsidRDefault="00AB1C46" w:rsidP="005157A4">
      <w:pPr>
        <w:pStyle w:val="PolicyReferences"/>
      </w:pPr>
    </w:p>
    <w:sectPr w:rsidR="00AB1C46" w:rsidSect="005157A4">
      <w:footerReference w:type="default" r:id="rId22"/>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C0E3C" w14:textId="77777777" w:rsidR="005157A4" w:rsidRDefault="005157A4" w:rsidP="00FC3907">
      <w:r>
        <w:separator/>
      </w:r>
    </w:p>
  </w:endnote>
  <w:endnote w:type="continuationSeparator" w:id="0">
    <w:p w14:paraId="404DDB93" w14:textId="77777777" w:rsidR="005157A4" w:rsidRDefault="005157A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E669" w14:textId="77777777" w:rsidR="00A31996" w:rsidRDefault="00A31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57A4" w14:paraId="57FCDEA0" w14:textId="77777777" w:rsidTr="004616AD">
      <w:tc>
        <w:tcPr>
          <w:tcW w:w="2340" w:type="dxa"/>
        </w:tcPr>
        <w:p w14:paraId="360C36F0" w14:textId="74EA4176" w:rsidR="005157A4" w:rsidRDefault="005157A4" w:rsidP="004616AD">
          <w:pPr>
            <w:pStyle w:val="Footer"/>
            <w:rPr>
              <w:noProof/>
              <w:sz w:val="20"/>
            </w:rPr>
          </w:pPr>
          <w:r>
            <w:rPr>
              <w:noProof/>
              <w:sz w:val="20"/>
            </w:rPr>
            <w:t>R</w:t>
          </w:r>
          <w:del w:id="3" w:author="Leslie Fisher" w:date="2021-07-14T11:47:00Z">
            <w:r w:rsidDel="00FB6E5A">
              <w:rPr>
                <w:noProof/>
                <w:sz w:val="20"/>
              </w:rPr>
              <w:delText>3/03/17</w:delText>
            </w:r>
          </w:del>
          <w:r w:rsidR="00896784" w:rsidRPr="00896784">
            <w:rPr>
              <w:noProof/>
              <w:sz w:val="20"/>
              <w:highlight w:val="darkGray"/>
            </w:rPr>
            <w:t>10/05/21</w:t>
          </w:r>
          <w:r>
            <w:rPr>
              <w:noProof/>
              <w:sz w:val="20"/>
            </w:rPr>
            <w:t>│</w:t>
          </w:r>
          <w:del w:id="4" w:author="Leslie Fisher" w:date="2021-07-14T11:48:00Z">
            <w:r w:rsidDel="00FB6E5A">
              <w:rPr>
                <w:noProof/>
                <w:sz w:val="20"/>
              </w:rPr>
              <w:delText>PH</w:delText>
            </w:r>
          </w:del>
          <w:r w:rsidR="00FB6E5A" w:rsidRPr="001F4C2C">
            <w:rPr>
              <w:noProof/>
              <w:sz w:val="20"/>
              <w:highlight w:val="darkGray"/>
            </w:rPr>
            <w:t>LF</w:t>
          </w:r>
        </w:p>
      </w:tc>
      <w:tc>
        <w:tcPr>
          <w:tcW w:w="7956" w:type="dxa"/>
        </w:tcPr>
        <w:p w14:paraId="0DA458ED" w14:textId="7AD86020" w:rsidR="005157A4" w:rsidRDefault="005157A4" w:rsidP="004616AD">
          <w:pPr>
            <w:pStyle w:val="Footer"/>
            <w:jc w:val="right"/>
          </w:pPr>
          <w:r>
            <w:t>Freedom of Expression – IB</w:t>
          </w:r>
        </w:p>
        <w:p w14:paraId="74F4375D" w14:textId="77777777" w:rsidR="005157A4" w:rsidRDefault="005157A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AF57313" w14:textId="77777777" w:rsidR="005157A4" w:rsidRPr="00782930" w:rsidRDefault="005157A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8826" w14:textId="77777777" w:rsidR="00A31996" w:rsidRDefault="00A319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57A4" w14:paraId="6B450E8B" w14:textId="77777777" w:rsidTr="004616AD">
      <w:tc>
        <w:tcPr>
          <w:tcW w:w="2340" w:type="dxa"/>
        </w:tcPr>
        <w:p w14:paraId="36C29328" w14:textId="77777777" w:rsidR="005157A4" w:rsidRDefault="005157A4" w:rsidP="004616AD">
          <w:pPr>
            <w:pStyle w:val="Footer"/>
            <w:rPr>
              <w:noProof/>
              <w:sz w:val="20"/>
            </w:rPr>
          </w:pPr>
          <w:r>
            <w:rPr>
              <w:noProof/>
              <w:sz w:val="20"/>
            </w:rPr>
            <w:t>R3/03/17│PH</w:t>
          </w:r>
        </w:p>
      </w:tc>
      <w:tc>
        <w:tcPr>
          <w:tcW w:w="7956" w:type="dxa"/>
        </w:tcPr>
        <w:p w14:paraId="619442BE" w14:textId="77777777" w:rsidR="005157A4" w:rsidRDefault="005157A4" w:rsidP="004616AD">
          <w:pPr>
            <w:pStyle w:val="Footer"/>
            <w:jc w:val="right"/>
          </w:pPr>
          <w:r>
            <w:t>Freedom of Expression  – IB</w:t>
          </w:r>
        </w:p>
        <w:p w14:paraId="0FD14B5E" w14:textId="77777777" w:rsidR="005157A4" w:rsidRDefault="005157A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34BC994" w14:textId="77777777" w:rsidR="005157A4" w:rsidRPr="00782930" w:rsidRDefault="005157A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57A4" w14:paraId="39BDE350" w14:textId="77777777" w:rsidTr="004616AD">
      <w:tc>
        <w:tcPr>
          <w:tcW w:w="2340" w:type="dxa"/>
        </w:tcPr>
        <w:p w14:paraId="7DB3069C" w14:textId="77777777" w:rsidR="005157A4" w:rsidRDefault="005157A4" w:rsidP="004616AD">
          <w:pPr>
            <w:pStyle w:val="Footer"/>
            <w:rPr>
              <w:noProof/>
              <w:sz w:val="20"/>
            </w:rPr>
          </w:pPr>
          <w:r>
            <w:rPr>
              <w:noProof/>
              <w:sz w:val="20"/>
            </w:rPr>
            <w:t>R3/03/17│PH</w:t>
          </w:r>
        </w:p>
      </w:tc>
      <w:tc>
        <w:tcPr>
          <w:tcW w:w="7956" w:type="dxa"/>
        </w:tcPr>
        <w:p w14:paraId="5811995D" w14:textId="77777777" w:rsidR="005157A4" w:rsidRDefault="005157A4" w:rsidP="004616AD">
          <w:pPr>
            <w:pStyle w:val="Footer"/>
            <w:jc w:val="right"/>
          </w:pPr>
          <w:r>
            <w:t>Freedom of Expression  – IB</w:t>
          </w:r>
        </w:p>
        <w:p w14:paraId="36356704" w14:textId="77777777" w:rsidR="005157A4" w:rsidRDefault="005157A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4C64C41" w14:textId="77777777" w:rsidR="005157A4" w:rsidRPr="00782930" w:rsidRDefault="005157A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B57DA" w14:textId="77777777" w:rsidR="005157A4" w:rsidRDefault="005157A4" w:rsidP="00FC3907">
      <w:r>
        <w:separator/>
      </w:r>
    </w:p>
  </w:footnote>
  <w:footnote w:type="continuationSeparator" w:id="0">
    <w:p w14:paraId="0CBBBE88" w14:textId="77777777" w:rsidR="005157A4" w:rsidRDefault="005157A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8932" w14:textId="77777777" w:rsidR="00A31996" w:rsidRPr="00FB1790" w:rsidRDefault="00A31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344D" w14:textId="77777777" w:rsidR="00A31996" w:rsidRDefault="00A31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379BE" w14:textId="77777777" w:rsidR="00A31996" w:rsidRDefault="00A31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40A5"/>
    <w:rsid w:val="00125E1F"/>
    <w:rsid w:val="00137065"/>
    <w:rsid w:val="001479B1"/>
    <w:rsid w:val="00151EC6"/>
    <w:rsid w:val="00156EA7"/>
    <w:rsid w:val="0018025F"/>
    <w:rsid w:val="001C1D43"/>
    <w:rsid w:val="001C3978"/>
    <w:rsid w:val="001C5C15"/>
    <w:rsid w:val="001D1A98"/>
    <w:rsid w:val="001E1260"/>
    <w:rsid w:val="001E7AE7"/>
    <w:rsid w:val="001F0605"/>
    <w:rsid w:val="001F4C2C"/>
    <w:rsid w:val="001F4D2D"/>
    <w:rsid w:val="0021369D"/>
    <w:rsid w:val="00217190"/>
    <w:rsid w:val="00224022"/>
    <w:rsid w:val="00246025"/>
    <w:rsid w:val="002564B6"/>
    <w:rsid w:val="0028031C"/>
    <w:rsid w:val="00280B93"/>
    <w:rsid w:val="002821D2"/>
    <w:rsid w:val="00284A5E"/>
    <w:rsid w:val="00286D2D"/>
    <w:rsid w:val="00292BD9"/>
    <w:rsid w:val="002A7657"/>
    <w:rsid w:val="002B17C3"/>
    <w:rsid w:val="002C77C7"/>
    <w:rsid w:val="002F44D0"/>
    <w:rsid w:val="002F4D33"/>
    <w:rsid w:val="002F7C67"/>
    <w:rsid w:val="00305489"/>
    <w:rsid w:val="00306B03"/>
    <w:rsid w:val="00311B2D"/>
    <w:rsid w:val="003233D7"/>
    <w:rsid w:val="003234E0"/>
    <w:rsid w:val="00336B1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628B6"/>
    <w:rsid w:val="00472B26"/>
    <w:rsid w:val="00484B66"/>
    <w:rsid w:val="00487A8B"/>
    <w:rsid w:val="00490A75"/>
    <w:rsid w:val="0049277F"/>
    <w:rsid w:val="00494174"/>
    <w:rsid w:val="004C1EE4"/>
    <w:rsid w:val="004C2F7D"/>
    <w:rsid w:val="004E3582"/>
    <w:rsid w:val="004F53EB"/>
    <w:rsid w:val="005130E3"/>
    <w:rsid w:val="005157A4"/>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35F0"/>
    <w:rsid w:val="00684386"/>
    <w:rsid w:val="00685AAF"/>
    <w:rsid w:val="00695030"/>
    <w:rsid w:val="00695431"/>
    <w:rsid w:val="0069687A"/>
    <w:rsid w:val="006A0245"/>
    <w:rsid w:val="006B051E"/>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01AD"/>
    <w:rsid w:val="008152CF"/>
    <w:rsid w:val="00824B84"/>
    <w:rsid w:val="00830ED8"/>
    <w:rsid w:val="00835AD6"/>
    <w:rsid w:val="008370FF"/>
    <w:rsid w:val="008429ED"/>
    <w:rsid w:val="00844CD8"/>
    <w:rsid w:val="00850A44"/>
    <w:rsid w:val="00861113"/>
    <w:rsid w:val="00870BED"/>
    <w:rsid w:val="00882C0D"/>
    <w:rsid w:val="00890313"/>
    <w:rsid w:val="00896784"/>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31996"/>
    <w:rsid w:val="00A460E6"/>
    <w:rsid w:val="00A61DAA"/>
    <w:rsid w:val="00A7204A"/>
    <w:rsid w:val="00A967F8"/>
    <w:rsid w:val="00AB1C46"/>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478E5"/>
    <w:rsid w:val="00B637AA"/>
    <w:rsid w:val="00B659D3"/>
    <w:rsid w:val="00B70CD3"/>
    <w:rsid w:val="00B76A55"/>
    <w:rsid w:val="00B93330"/>
    <w:rsid w:val="00B94A90"/>
    <w:rsid w:val="00BA02CC"/>
    <w:rsid w:val="00BA54B2"/>
    <w:rsid w:val="00BB2371"/>
    <w:rsid w:val="00BB63B8"/>
    <w:rsid w:val="00BC6D2F"/>
    <w:rsid w:val="00BD65DF"/>
    <w:rsid w:val="00BE44C8"/>
    <w:rsid w:val="00BE450C"/>
    <w:rsid w:val="00BE5ECB"/>
    <w:rsid w:val="00BF1386"/>
    <w:rsid w:val="00C04F63"/>
    <w:rsid w:val="00C21664"/>
    <w:rsid w:val="00C25368"/>
    <w:rsid w:val="00C2549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17889"/>
    <w:rsid w:val="00F45027"/>
    <w:rsid w:val="00F45D0D"/>
    <w:rsid w:val="00F704CA"/>
    <w:rsid w:val="00F774CC"/>
    <w:rsid w:val="00F80E45"/>
    <w:rsid w:val="00F91523"/>
    <w:rsid w:val="00F94BBC"/>
    <w:rsid w:val="00FA481C"/>
    <w:rsid w:val="00FB1790"/>
    <w:rsid w:val="00FB3011"/>
    <w:rsid w:val="00FB52F8"/>
    <w:rsid w:val="00FB6E5A"/>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61F57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157A4"/>
    <w:rPr>
      <w:color w:val="0000FF"/>
      <w:u w:val="single"/>
    </w:rPr>
  </w:style>
  <w:style w:type="character" w:styleId="Hyperlink">
    <w:name w:val="Hyperlink"/>
    <w:basedOn w:val="DefaultParagraphFont"/>
    <w:uiPriority w:val="99"/>
    <w:unhideWhenUsed/>
    <w:rsid w:val="00FB6E5A"/>
    <w:rPr>
      <w:color w:val="0563C1" w:themeColor="hyperlink"/>
      <w:u w:val="single"/>
    </w:rPr>
  </w:style>
  <w:style w:type="character" w:styleId="UnresolvedMention">
    <w:name w:val="Unresolved Mention"/>
    <w:basedOn w:val="DefaultParagraphFont"/>
    <w:uiPriority w:val="99"/>
    <w:semiHidden/>
    <w:unhideWhenUsed/>
    <w:rsid w:val="00FB6E5A"/>
    <w:rPr>
      <w:color w:val="605E5C"/>
      <w:shd w:val="clear" w:color="auto" w:fill="E1DFDD"/>
    </w:rPr>
  </w:style>
  <w:style w:type="character" w:styleId="CommentReference">
    <w:name w:val="annotation reference"/>
    <w:basedOn w:val="DefaultParagraphFont"/>
    <w:uiPriority w:val="99"/>
    <w:semiHidden/>
    <w:unhideWhenUsed/>
    <w:rsid w:val="00FB6E5A"/>
    <w:rPr>
      <w:sz w:val="16"/>
      <w:szCs w:val="16"/>
    </w:rPr>
  </w:style>
  <w:style w:type="paragraph" w:styleId="CommentText">
    <w:name w:val="annotation text"/>
    <w:basedOn w:val="Normal"/>
    <w:link w:val="CommentTextChar"/>
    <w:uiPriority w:val="99"/>
    <w:semiHidden/>
    <w:unhideWhenUsed/>
    <w:rsid w:val="00FB6E5A"/>
    <w:rPr>
      <w:sz w:val="20"/>
      <w:szCs w:val="20"/>
    </w:rPr>
  </w:style>
  <w:style w:type="character" w:customStyle="1" w:styleId="CommentTextChar">
    <w:name w:val="Comment Text Char"/>
    <w:basedOn w:val="DefaultParagraphFont"/>
    <w:link w:val="CommentText"/>
    <w:uiPriority w:val="99"/>
    <w:semiHidden/>
    <w:rsid w:val="00FB6E5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6E5A"/>
    <w:rPr>
      <w:b/>
      <w:bCs/>
    </w:rPr>
  </w:style>
  <w:style w:type="character" w:customStyle="1" w:styleId="CommentSubjectChar">
    <w:name w:val="Comment Subject Char"/>
    <w:basedOn w:val="CommentTextChar"/>
    <w:link w:val="CommentSubject"/>
    <w:uiPriority w:val="99"/>
    <w:semiHidden/>
    <w:rsid w:val="00FB6E5A"/>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C254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65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DCEF8-34C8-4842-9F7F-567C9B82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IB - Freedom of Expression</vt:lpstr>
    </vt:vector>
  </TitlesOfParts>
  <Company>OSBA</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 Freedom of Expression</dc:title>
  <dc:subject>OSBA Board Policy</dc:subject>
  <dc:creator>Oregon School Boards Association</dc:creator>
  <cp:keywords/>
  <dc:description/>
  <cp:lastModifiedBy>Colleen Allen</cp:lastModifiedBy>
  <cp:revision>19</cp:revision>
  <cp:lastPrinted>2019-03-01T18:22:00Z</cp:lastPrinted>
  <dcterms:created xsi:type="dcterms:W3CDTF">2018-03-09T20:08:00Z</dcterms:created>
  <dcterms:modified xsi:type="dcterms:W3CDTF">2021-10-05T14:29:00Z</dcterms:modified>
</cp:coreProperties>
</file>