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10E92" w14:textId="77777777" w:rsidR="006D63DC" w:rsidRPr="00976D56" w:rsidRDefault="006D63DC" w:rsidP="001E1260">
      <w:pPr>
        <w:pStyle w:val="PolicyTitleBox"/>
      </w:pPr>
      <w:r>
        <w:t>OSBA Model Sample Policy</w:t>
      </w:r>
    </w:p>
    <w:p w14:paraId="6C58D7B2" w14:textId="77777777" w:rsidR="00CC7D46" w:rsidRDefault="00CC7D46" w:rsidP="00CC7D46"/>
    <w:p w14:paraId="2757ADA5" w14:textId="77777777" w:rsidR="001E1260" w:rsidRDefault="001E1260" w:rsidP="001E1260">
      <w:pPr>
        <w:pStyle w:val="PolicyCode"/>
      </w:pPr>
      <w:r>
        <w:t>Code:</w:t>
      </w:r>
      <w:r>
        <w:tab/>
      </w:r>
      <w:r w:rsidR="00973CA9">
        <w:t>IL</w:t>
      </w:r>
    </w:p>
    <w:p w14:paraId="69AD4EA8" w14:textId="77777777" w:rsidR="001E1260" w:rsidRDefault="001E1260" w:rsidP="001E1260">
      <w:pPr>
        <w:pStyle w:val="PolicyCode"/>
      </w:pPr>
      <w:r>
        <w:t>Adopted:</w:t>
      </w:r>
      <w:r>
        <w:tab/>
      </w:r>
    </w:p>
    <w:p w14:paraId="38AF7A51" w14:textId="77777777" w:rsidR="001E1260" w:rsidRPr="001E1260" w:rsidRDefault="001E1260" w:rsidP="00CC7D46"/>
    <w:p w14:paraId="3EF455DC" w14:textId="77777777" w:rsidR="00EF573E" w:rsidRDefault="00973CA9" w:rsidP="00EF573E">
      <w:pPr>
        <w:pStyle w:val="PolicyTitle"/>
      </w:pPr>
      <w:r>
        <w:t>Assessment Program**</w:t>
      </w:r>
    </w:p>
    <w:p w14:paraId="3E8EA9FF" w14:textId="77777777" w:rsidR="00EF573E" w:rsidRDefault="00EF573E" w:rsidP="00EF573E"/>
    <w:p w14:paraId="021C63A6" w14:textId="77777777" w:rsidR="00973CA9" w:rsidRDefault="00973CA9" w:rsidP="00973CA9">
      <w:pPr>
        <w:pStyle w:val="PolicyBodyText"/>
      </w:pPr>
      <w:r>
        <w:t>The district’s assessment program shall be designed for the purpose of determining district and school program improvement and individual student needs including the requirements of the Oregon Administrative Rules. Each year the district shall determine each student’s progress toward achieving federal, state and local achievement requirements.</w:t>
      </w:r>
    </w:p>
    <w:p w14:paraId="162779C6" w14:textId="77777777" w:rsidR="00973CA9" w:rsidRDefault="00973CA9" w:rsidP="00973CA9">
      <w:pPr>
        <w:pStyle w:val="PolicyBodyText"/>
      </w:pPr>
    </w:p>
    <w:p w14:paraId="037769B1" w14:textId="6EC2D793" w:rsidR="00973CA9" w:rsidRDefault="00973CA9" w:rsidP="00973CA9">
      <w:pPr>
        <w:pStyle w:val="PolicyBodyText"/>
      </w:pPr>
      <w:r>
        <w:t xml:space="preserve">Assessments shall be used to measure the academic content standards </w:t>
      </w:r>
      <w:del w:id="0" w:author="Rick Stucky" w:date="2021-09-23T10:22:00Z">
        <w:r w:rsidDel="00CC2124">
          <w:delText xml:space="preserve">and Essential Skills </w:delText>
        </w:r>
      </w:del>
      <w:r>
        <w:t xml:space="preserve">and to identify students who meet or exceed the performance standards </w:t>
      </w:r>
      <w:del w:id="1" w:author="Rick Stucky" w:date="2021-09-23T10:22:00Z">
        <w:r w:rsidDel="00CC2124">
          <w:delText xml:space="preserve">and Essential Skills </w:delText>
        </w:r>
      </w:del>
      <w:r>
        <w:t>adopted by the State Board of Education.</w:t>
      </w:r>
    </w:p>
    <w:p w14:paraId="171E5DBB" w14:textId="77777777" w:rsidR="00973CA9" w:rsidRDefault="00973CA9" w:rsidP="00973CA9">
      <w:pPr>
        <w:pStyle w:val="PolicyBodyText"/>
      </w:pPr>
    </w:p>
    <w:p w14:paraId="02FE8BC8" w14:textId="77777777" w:rsidR="00973CA9" w:rsidRDefault="00973CA9" w:rsidP="00973CA9">
      <w:pPr>
        <w:pStyle w:val="PolicyBodyText"/>
      </w:pPr>
      <w:r>
        <w:t>Accordingly, the district shall maintain the following assessment program:</w:t>
      </w:r>
    </w:p>
    <w:p w14:paraId="7A4517A6" w14:textId="77777777" w:rsidR="00973CA9" w:rsidRDefault="00973CA9" w:rsidP="00973CA9">
      <w:pPr>
        <w:pStyle w:val="PolicyBodyText"/>
      </w:pPr>
    </w:p>
    <w:p w14:paraId="47A92AA6" w14:textId="77777777" w:rsidR="00973CA9" w:rsidRDefault="00973CA9" w:rsidP="00973CA9">
      <w:pPr>
        <w:pStyle w:val="Level1"/>
      </w:pPr>
      <w:r>
        <w:t>Criterion-reference assessments, including performance-based assessments, content-based assessments and other valid methods as may be required by state and federal requirements;</w:t>
      </w:r>
    </w:p>
    <w:p w14:paraId="3FD61013" w14:textId="26CB72C5" w:rsidR="00973CA9" w:rsidDel="00CC2124" w:rsidRDefault="00973CA9" w:rsidP="00973CA9">
      <w:pPr>
        <w:pStyle w:val="Level1"/>
        <w:rPr>
          <w:del w:id="2" w:author="Rick Stucky" w:date="2021-09-23T10:22:00Z"/>
        </w:rPr>
      </w:pPr>
      <w:del w:id="3" w:author="Rick Stucky" w:date="2021-09-23T10:22:00Z">
        <w:r w:rsidDel="00CC2124">
          <w:delText>Assessment of Essential Skills;</w:delText>
        </w:r>
      </w:del>
    </w:p>
    <w:p w14:paraId="123386B7" w14:textId="77777777" w:rsidR="00973CA9" w:rsidRDefault="00973CA9" w:rsidP="00973CA9">
      <w:pPr>
        <w:pStyle w:val="Level1"/>
      </w:pPr>
      <w:r>
        <w:t>Individual diagnostic and ability evaluations in all grades when students have been referred and parental permission obtained;</w:t>
      </w:r>
    </w:p>
    <w:p w14:paraId="5DC3DDD7" w14:textId="77777777" w:rsidR="00973CA9" w:rsidRDefault="00973CA9" w:rsidP="00973CA9">
      <w:pPr>
        <w:pStyle w:val="Level1"/>
      </w:pPr>
      <w:r>
        <w:t>Assessments by individual teachers;</w:t>
      </w:r>
    </w:p>
    <w:p w14:paraId="3E226642" w14:textId="2517C991" w:rsidR="00973CA9" w:rsidRDefault="00973CA9" w:rsidP="00973CA9">
      <w:pPr>
        <w:pStyle w:val="Level1"/>
      </w:pPr>
      <w:del w:id="4" w:author="Rick Stucky" w:date="2021-09-23T10:22:00Z">
        <w:r w:rsidDel="00CC2124">
          <w:delText xml:space="preserve">Optional </w:delText>
        </w:r>
      </w:del>
      <w:r w:rsidR="00CC2124" w:rsidRPr="005C3FE6">
        <w:rPr>
          <w:highlight w:val="darkGray"/>
        </w:rPr>
        <w:t xml:space="preserve">Other </w:t>
      </w:r>
      <w:r>
        <w:t>schoolwide and grade levelwide assessments</w:t>
      </w:r>
      <w:del w:id="5" w:author="Rick Stucky" w:date="2021-09-23T10:22:00Z">
        <w:r w:rsidDel="00CC2124">
          <w:delText>, as recommended by the superintendent and as approved by the Board</w:delText>
        </w:r>
      </w:del>
      <w:r>
        <w:t>.</w:t>
      </w:r>
    </w:p>
    <w:p w14:paraId="48B9D40F" w14:textId="7F97C622" w:rsidR="00973CA9" w:rsidRDefault="00973CA9" w:rsidP="00973CA9">
      <w:pPr>
        <w:pStyle w:val="PolicyBodyText"/>
      </w:pPr>
      <w:r>
        <w:t>It is the intent of the Board that progress be measured in a manner that clearly enables the student and parents to know whether the student is making progress toward meeting or exceeding academic content standards</w:t>
      </w:r>
      <w:del w:id="6" w:author="Leslie Fisher" w:date="2021-10-08T07:59:00Z">
        <w:r w:rsidDel="003249D4">
          <w:delText xml:space="preserve"> and Essential Skills</w:delText>
        </w:r>
      </w:del>
      <w:r>
        <w:t>. District, school and individual results shall be reported to the Board, parents and the community, as prescribed by law.</w:t>
      </w:r>
    </w:p>
    <w:p w14:paraId="1C091460" w14:textId="77777777" w:rsidR="00973CA9" w:rsidRDefault="00973CA9" w:rsidP="00973CA9">
      <w:pPr>
        <w:pStyle w:val="PolicyBodyText"/>
      </w:pPr>
    </w:p>
    <w:p w14:paraId="235F60F2" w14:textId="77777777" w:rsidR="00973CA9" w:rsidRDefault="00973CA9" w:rsidP="00973CA9">
      <w:pPr>
        <w:pStyle w:val="PolicyBodyText"/>
      </w:pPr>
      <w:r>
        <w:t>The district shall make additional services or alternative educational or public school options available to any student who has not met or has exceeded all of the state-required academic content standards. Additionally, students in schools receiving Title I moneys that have been identified by the Oregon Department of Education (ODE), will be provided supplemental services and public school options as required by law.</w:t>
      </w:r>
    </w:p>
    <w:p w14:paraId="1D16F4FD" w14:textId="77777777" w:rsidR="00973CA9" w:rsidRDefault="00973CA9" w:rsidP="00973CA9">
      <w:pPr>
        <w:pStyle w:val="PolicyBodyText"/>
      </w:pPr>
    </w:p>
    <w:p w14:paraId="14C155EB" w14:textId="386F9A8C" w:rsidR="00973CA9" w:rsidRDefault="00973CA9" w:rsidP="00973CA9">
      <w:pPr>
        <w:pStyle w:val="PolicyBodyText"/>
      </w:pPr>
      <w:r>
        <w:t xml:space="preserve">The district shall not discriminate in the methods, practices and materials used for assessment, evaluating and counseling students on the basis of race, color, national origin, religion, sex, sexual orientation, </w:t>
      </w:r>
      <w:r w:rsidR="00BC37D9" w:rsidRPr="005C3FE6">
        <w:rPr>
          <w:highlight w:val="darkGray"/>
        </w:rPr>
        <w:t xml:space="preserve">gender identity, </w:t>
      </w:r>
      <w:r>
        <w:t>age, disability or marital status. Discrimination complaints shall be processed in accordance with established procedures.</w:t>
      </w:r>
    </w:p>
    <w:p w14:paraId="15E55695" w14:textId="77777777" w:rsidR="00BC37D9" w:rsidRDefault="00BC37D9">
      <w:pPr>
        <w:suppressAutoHyphens w:val="0"/>
        <w:spacing w:after="160" w:line="259" w:lineRule="auto"/>
      </w:pPr>
    </w:p>
    <w:p w14:paraId="0E1150A6" w14:textId="033EECB0" w:rsidR="00973CA9" w:rsidRDefault="00973CA9" w:rsidP="00973CA9">
      <w:pPr>
        <w:pStyle w:val="PolicyBodyText"/>
      </w:pPr>
      <w:r>
        <w:lastRenderedPageBreak/>
        <w:t>Staff will receive in-service education in the use of designated assessments and interpretation of assessment results.</w:t>
      </w:r>
    </w:p>
    <w:p w14:paraId="200AC9DF" w14:textId="77777777" w:rsidR="00CC2124" w:rsidRDefault="00CC2124" w:rsidP="00973CA9">
      <w:pPr>
        <w:pStyle w:val="PolicyBodyText"/>
      </w:pPr>
    </w:p>
    <w:p w14:paraId="494FB217" w14:textId="39213361" w:rsidR="00973CA9" w:rsidRPr="005C3FE6" w:rsidRDefault="00CC2124" w:rsidP="00973CA9">
      <w:pPr>
        <w:pStyle w:val="PolicyBodyText"/>
        <w:rPr>
          <w:highlight w:val="darkGray"/>
        </w:rPr>
      </w:pPr>
      <w:r w:rsidRPr="005C3FE6">
        <w:rPr>
          <w:highlight w:val="darkGray"/>
        </w:rPr>
        <w:t>A parent on behalf of their student or an adult student may annually opt-out of taking a statewide summative assessment by completing and submitting ODE’s opt-out form</w:t>
      </w:r>
      <w:r w:rsidRPr="005C3FE6">
        <w:rPr>
          <w:highlight w:val="darkGray"/>
          <w:vertAlign w:val="superscript"/>
        </w:rPr>
        <w:footnoteReference w:id="1"/>
      </w:r>
      <w:r w:rsidRPr="005C3FE6">
        <w:rPr>
          <w:highlight w:val="darkGray"/>
        </w:rPr>
        <w:t xml:space="preserve"> to the school. The district shall provide supervised study time for students who are excused from participating in the assessment. A student may be excused from the Oregon Statewide Assessment Program for disability or religious reasons. Parents and adult students will be provided the required notices</w:t>
      </w:r>
      <w:r w:rsidRPr="005C3FE6">
        <w:rPr>
          <w:rStyle w:val="FootnoteReference"/>
          <w:highlight w:val="darkGray"/>
        </w:rPr>
        <w:footnoteReference w:id="2"/>
      </w:r>
      <w:r w:rsidRPr="005C3FE6">
        <w:rPr>
          <w:highlight w:val="darkGray"/>
        </w:rPr>
        <w:t xml:space="preserve"> and access to forms by the district that include a time frame in which statewide assessments will take place, and an adult student’s or parent’s right to request an exemption from taking the statewide summative assessments.</w:t>
      </w:r>
    </w:p>
    <w:p w14:paraId="05EA5D10" w14:textId="77777777" w:rsidR="00CC2124" w:rsidRDefault="00CC2124" w:rsidP="00973CA9">
      <w:pPr>
        <w:pStyle w:val="PolicyBodyText"/>
      </w:pPr>
    </w:p>
    <w:p w14:paraId="117008A1" w14:textId="4C9EA175" w:rsidR="00973CA9" w:rsidDel="00AE1224" w:rsidRDefault="00973CA9" w:rsidP="00973CA9">
      <w:pPr>
        <w:pStyle w:val="PolicyBodyText"/>
        <w:rPr>
          <w:del w:id="8" w:author="Colleen Allen" w:date="2021-10-05T08:04:00Z"/>
        </w:rPr>
      </w:pPr>
      <w:del w:id="9" w:author="Rick Stucky" w:date="2021-09-23T10:23:00Z">
        <w:r w:rsidDel="00CC2124">
          <w:delText xml:space="preserve">A student may opt-out of </w:delText>
        </w:r>
      </w:del>
      <w:del w:id="10" w:author="Rick Stucky" w:date="2021-07-08T11:33:00Z">
        <w:r w:rsidDel="00F80308">
          <w:delText>the Smarter Balanced and/or alternate Oregon Extended Assessments in English language arts and mathematics as provided in state law</w:delText>
        </w:r>
      </w:del>
      <w:del w:id="11" w:author="Rick Stucky" w:date="2021-09-23T10:23:00Z">
        <w:r w:rsidDel="00CC2124">
          <w:delText>. The district shall provide the required notice and necessary forms to the student. The district shall provide supervised study time for students who are excused from participating in the assessment. A student may be excused from the Oregon Statewide Assessment Program for disability or religious reasons. Parents and adult students will be provided the required notices</w:delText>
        </w:r>
        <w:r w:rsidDel="00CC2124">
          <w:rPr>
            <w:rStyle w:val="FootnoteReference"/>
          </w:rPr>
          <w:footnoteReference w:id="3"/>
        </w:r>
        <w:r w:rsidDel="00CC2124">
          <w:delText xml:space="preserve"> that include a time frame in which statewide assessments will take place, and an adult student’s or parent’s right to request an exemption from taking the statewide summative assessments.</w:delText>
        </w:r>
      </w:del>
    </w:p>
    <w:p w14:paraId="1207CE06" w14:textId="28B2FEE8" w:rsidR="00973CA9" w:rsidDel="00AE1224" w:rsidRDefault="00973CA9" w:rsidP="00973CA9">
      <w:pPr>
        <w:pStyle w:val="PolicyBodyText"/>
        <w:rPr>
          <w:del w:id="14" w:author="Colleen Allen" w:date="2021-10-05T08:04:00Z"/>
        </w:rPr>
      </w:pPr>
    </w:p>
    <w:p w14:paraId="5077853C" w14:textId="12E6C4D2" w:rsidR="00973CA9" w:rsidRDefault="00973CA9" w:rsidP="00973CA9">
      <w:pPr>
        <w:pStyle w:val="PolicyBodyText"/>
      </w:pPr>
      <w:del w:id="15" w:author="Leslie Fisher" w:date="2021-07-15T12:59:00Z">
        <w:r w:rsidDel="00792CAE">
          <w:delText xml:space="preserve">The district shall establish conduct and discipline consequences for student-initiated test impropriety. </w:delText>
        </w:r>
      </w:del>
      <w:bookmarkStart w:id="16" w:name="_Hlk77246712"/>
      <w:r w:rsidR="00792CAE" w:rsidRPr="005C3FE6">
        <w:rPr>
          <w:highlight w:val="darkGray"/>
        </w:rPr>
        <w:t xml:space="preserve">The act of student-initiated test impropriety is prohibited. A student that participates in an act of student-initiated test impropriety will be subject to discipline. </w:t>
      </w:r>
      <w:bookmarkEnd w:id="16"/>
      <w:r>
        <w:t xml:space="preserve">“Student-initiated test impropriety” means student conduct that is inconsistent with the </w:t>
      </w:r>
      <w:r w:rsidRPr="00973CA9">
        <w:rPr>
          <w:i/>
        </w:rPr>
        <w:t>Test Administration Manual</w:t>
      </w:r>
      <w:r>
        <w:t xml:space="preserve"> or accompanying guidance; or results in a score that is invalid.</w:t>
      </w:r>
    </w:p>
    <w:p w14:paraId="143F2C76" w14:textId="77777777" w:rsidR="00973CA9" w:rsidRDefault="00973CA9" w:rsidP="00973CA9">
      <w:pPr>
        <w:pStyle w:val="PolicyBodyText"/>
      </w:pPr>
    </w:p>
    <w:p w14:paraId="5699604A" w14:textId="77777777" w:rsidR="00973CA9" w:rsidRDefault="00973CA9" w:rsidP="00973CA9">
      <w:pPr>
        <w:pStyle w:val="PolicyBodyText"/>
      </w:pPr>
      <w:r>
        <w:t>The superintendent shall ensure a periodic review and evaluation of the district’s assessment program is conducted.</w:t>
      </w:r>
    </w:p>
    <w:p w14:paraId="550FE447" w14:textId="77777777" w:rsidR="00973CA9" w:rsidRDefault="00973CA9" w:rsidP="00973CA9">
      <w:pPr>
        <w:pStyle w:val="PolicyBodyText"/>
      </w:pPr>
    </w:p>
    <w:p w14:paraId="5DB55920" w14:textId="77777777" w:rsidR="00973CA9" w:rsidRDefault="00973CA9" w:rsidP="00973CA9">
      <w:pPr>
        <w:pStyle w:val="PolicyBodyText"/>
      </w:pPr>
      <w:r>
        <w:t>END OF POLICY</w:t>
      </w:r>
    </w:p>
    <w:p w14:paraId="1128F898" w14:textId="77777777" w:rsidR="00973CA9" w:rsidRDefault="00973CA9" w:rsidP="00973CA9">
      <w:pPr>
        <w:pStyle w:val="PolicyLine"/>
      </w:pPr>
    </w:p>
    <w:p w14:paraId="6BD59C22" w14:textId="77777777" w:rsidR="00973CA9" w:rsidRPr="00225B1A" w:rsidRDefault="00973CA9" w:rsidP="00AE1224">
      <w:pPr>
        <w:pStyle w:val="PolicyReferencesHeading"/>
        <w:spacing w:after="0"/>
      </w:pPr>
      <w:r w:rsidRPr="00973CA9">
        <w:t>Legal Reference(s):</w:t>
      </w:r>
    </w:p>
    <w:p w14:paraId="7CD3B80A" w14:textId="77777777" w:rsidR="00973CA9" w:rsidRDefault="00973CA9" w:rsidP="00973CA9">
      <w:pPr>
        <w:pStyle w:val="PolicyReferences"/>
      </w:pPr>
    </w:p>
    <w:p w14:paraId="614842DA" w14:textId="77777777" w:rsidR="00973CA9" w:rsidRDefault="00973CA9" w:rsidP="00973CA9">
      <w:pPr>
        <w:pStyle w:val="PolicyReferences"/>
        <w:sectPr w:rsidR="00973CA9" w:rsidSect="00973CA9">
          <w:footerReference w:type="default" r:id="rId8"/>
          <w:type w:val="continuous"/>
          <w:pgSz w:w="12240" w:h="15838"/>
          <w:pgMar w:top="936" w:right="720" w:bottom="720" w:left="1224" w:header="432" w:footer="720" w:gutter="0"/>
          <w:cols w:space="720"/>
          <w:noEndnote/>
          <w:docGrid w:linePitch="326"/>
        </w:sectPr>
      </w:pPr>
    </w:p>
    <w:bookmarkStart w:id="19" w:name="Laws"/>
    <w:bookmarkStart w:id="20" w:name="ORS"/>
    <w:bookmarkEnd w:id="19"/>
    <w:bookmarkEnd w:id="20"/>
    <w:p w14:paraId="2C39A2B4" w14:textId="5418A698" w:rsidR="00973CA9" w:rsidRDefault="002540BA" w:rsidP="00973CA9">
      <w:pPr>
        <w:pStyle w:val="PolicyReferences"/>
      </w:pPr>
      <w:r>
        <w:rPr>
          <w:rStyle w:val="SYSHYPERTEXT"/>
        </w:rPr>
        <w:fldChar w:fldCharType="begin"/>
      </w:r>
      <w:r>
        <w:rPr>
          <w:rStyle w:val="SYSHYPERTEXT"/>
        </w:rPr>
        <w:instrText xml:space="preserve"> HYPERLINK "http://policy.osba.org/orsredir.asp?ors=ors---40" </w:instrText>
      </w:r>
      <w:r>
        <w:rPr>
          <w:rStyle w:val="SYSHYPERTEXT"/>
        </w:rPr>
      </w:r>
      <w:r>
        <w:rPr>
          <w:rStyle w:val="SYSHYPERTEXT"/>
        </w:rPr>
        <w:fldChar w:fldCharType="separate"/>
      </w:r>
      <w:r>
        <w:rPr>
          <w:rStyle w:val="Hyperlink"/>
        </w:rPr>
        <w:t>ORS   40</w:t>
      </w:r>
      <w:r>
        <w:rPr>
          <w:rStyle w:val="SYSHYPERTEXT"/>
        </w:rPr>
        <w:fldChar w:fldCharType="end"/>
      </w:r>
      <w:r w:rsidR="00973CA9">
        <w:t>.245</w:t>
      </w:r>
    </w:p>
    <w:p w14:paraId="3A239062" w14:textId="669F5D6B" w:rsidR="00973CA9" w:rsidRDefault="002540BA" w:rsidP="00973CA9">
      <w:pPr>
        <w:pStyle w:val="PolicyReferences"/>
      </w:pPr>
      <w:hyperlink r:id="rId9" w:history="1">
        <w:r>
          <w:rPr>
            <w:rStyle w:val="Hyperlink"/>
          </w:rPr>
          <w:t>ORS 326</w:t>
        </w:r>
      </w:hyperlink>
      <w:r w:rsidR="00973CA9">
        <w:t>.565</w:t>
      </w:r>
    </w:p>
    <w:p w14:paraId="0166D3E6" w14:textId="1591BD28" w:rsidR="00973CA9" w:rsidRDefault="002540BA" w:rsidP="00973CA9">
      <w:pPr>
        <w:pStyle w:val="PolicyReferences"/>
      </w:pPr>
      <w:hyperlink r:id="rId10" w:history="1">
        <w:r>
          <w:rPr>
            <w:rStyle w:val="Hyperlink"/>
          </w:rPr>
          <w:t>ORS 326</w:t>
        </w:r>
      </w:hyperlink>
      <w:r w:rsidR="00973CA9">
        <w:t>.575</w:t>
      </w:r>
    </w:p>
    <w:p w14:paraId="60DBDF4B" w14:textId="09FAE171" w:rsidR="00973CA9" w:rsidRDefault="002540BA" w:rsidP="00973CA9">
      <w:pPr>
        <w:pStyle w:val="PolicyReferences"/>
      </w:pPr>
      <w:hyperlink r:id="rId11" w:history="1">
        <w:r>
          <w:rPr>
            <w:rStyle w:val="Hyperlink"/>
          </w:rPr>
          <w:t>ORS 329</w:t>
        </w:r>
      </w:hyperlink>
      <w:r w:rsidR="00973CA9">
        <w:t>.479</w:t>
      </w:r>
    </w:p>
    <w:p w14:paraId="6E1217B0" w14:textId="3FDB97F5" w:rsidR="00973CA9" w:rsidRDefault="002540BA" w:rsidP="00973CA9">
      <w:pPr>
        <w:pStyle w:val="PolicyReferences"/>
      </w:pPr>
      <w:hyperlink r:id="rId12" w:history="1">
        <w:r>
          <w:rPr>
            <w:rStyle w:val="Hyperlink"/>
          </w:rPr>
          <w:t>ORS 329</w:t>
        </w:r>
      </w:hyperlink>
      <w:r w:rsidR="00973CA9">
        <w:t>.485</w:t>
      </w:r>
    </w:p>
    <w:p w14:paraId="47239F44" w14:textId="07F8440E" w:rsidR="00973CA9" w:rsidRPr="005C3FE6" w:rsidRDefault="002540BA" w:rsidP="00973CA9">
      <w:pPr>
        <w:pStyle w:val="PolicyReferences"/>
        <w:rPr>
          <w:highlight w:val="darkGray"/>
        </w:rPr>
      </w:pPr>
      <w:hyperlink r:id="rId13" w:history="1">
        <w:r>
          <w:rPr>
            <w:rStyle w:val="Hyperlink"/>
          </w:rPr>
          <w:t>ORS 336</w:t>
        </w:r>
      </w:hyperlink>
      <w:r w:rsidR="00973CA9">
        <w:t>.187</w:t>
      </w:r>
    </w:p>
    <w:p w14:paraId="0C6E6E4A" w14:textId="1FB567E0" w:rsidR="00792CAE" w:rsidRDefault="002540BA" w:rsidP="00973CA9">
      <w:pPr>
        <w:pStyle w:val="PolicyReferences"/>
      </w:pPr>
      <w:hyperlink r:id="rId14" w:history="1">
        <w:r>
          <w:rPr>
            <w:rStyle w:val="Hyperlink"/>
            <w:highlight w:val="darkGray"/>
          </w:rPr>
          <w:t>ORS 659</w:t>
        </w:r>
      </w:hyperlink>
      <w:r w:rsidR="00792CAE" w:rsidRPr="005C3FE6">
        <w:rPr>
          <w:highlight w:val="darkGray"/>
        </w:rPr>
        <w:t>.850</w:t>
      </w:r>
    </w:p>
    <w:p w14:paraId="3CA1D5EF" w14:textId="0DF65FD0" w:rsidR="00973CA9" w:rsidDel="00500514" w:rsidRDefault="002540BA" w:rsidP="00973CA9">
      <w:pPr>
        <w:pStyle w:val="PolicyReferences"/>
        <w:rPr>
          <w:del w:id="21" w:author="Leslie Fisher" w:date="2021-07-14T10:17:00Z"/>
        </w:rPr>
      </w:pPr>
      <w:del w:id="22" w:author="Leslie Fisher" w:date="2021-10-08T08:09:00Z">
        <w:r w:rsidRPr="002540BA" w:rsidDel="005F0085">
          <w:rPr>
            <w:rStyle w:val="SYSHYPERTEXT"/>
          </w:rPr>
          <w:delText>ORS 659</w:delText>
        </w:r>
      </w:del>
      <w:del w:id="23" w:author="Leslie Fisher" w:date="2021-07-14T10:17:00Z">
        <w:r w:rsidR="00973CA9" w:rsidDel="00500514">
          <w:delText>.870</w:delText>
        </w:r>
      </w:del>
    </w:p>
    <w:bookmarkStart w:id="24" w:name="OAR"/>
    <w:bookmarkEnd w:id="24"/>
    <w:p w14:paraId="00BCBC83" w14:textId="3CFA9F0D" w:rsidR="00500514" w:rsidRPr="005C3FE6" w:rsidRDefault="006E7C1D" w:rsidP="00500514">
      <w:pPr>
        <w:pStyle w:val="PolicyReferences"/>
        <w:rPr>
          <w:rStyle w:val="SYSHYPERTEXT"/>
          <w:color w:val="auto"/>
          <w:highlight w:val="darkGray"/>
          <w:u w:val="none"/>
        </w:rPr>
      </w:pPr>
      <w:r>
        <w:rPr>
          <w:rStyle w:val="SYSHYPERTEXT"/>
          <w:color w:val="auto"/>
          <w:u w:val="none"/>
        </w:rPr>
        <w:fldChar w:fldCharType="begin"/>
      </w:r>
      <w:r>
        <w:rPr>
          <w:rStyle w:val="SYSHYPERTEXT"/>
          <w:color w:val="auto"/>
          <w:u w:val="none"/>
        </w:rPr>
        <w:instrText xml:space="preserve"> HYPERLINK "http://policy.osba.org/orsredir.asp?ors=oar-581" </w:instrText>
      </w:r>
      <w:r>
        <w:rPr>
          <w:rStyle w:val="SYSHYPERTEXT"/>
          <w:color w:val="auto"/>
          <w:u w:val="none"/>
        </w:rPr>
        <w:fldChar w:fldCharType="separate"/>
      </w:r>
      <w:r w:rsidR="00500514" w:rsidRPr="005C3FE6">
        <w:rPr>
          <w:rStyle w:val="Hyperlink"/>
          <w:highlight w:val="darkGray"/>
        </w:rPr>
        <w:t>OAR 581</w:t>
      </w:r>
      <w:r>
        <w:rPr>
          <w:rStyle w:val="SYSHYPERTEXT"/>
          <w:color w:val="auto"/>
          <w:u w:val="none"/>
        </w:rPr>
        <w:fldChar w:fldCharType="end"/>
      </w:r>
      <w:r w:rsidR="00500514" w:rsidRPr="005C3FE6">
        <w:rPr>
          <w:rStyle w:val="SYSHYPERTEXT"/>
          <w:color w:val="auto"/>
          <w:highlight w:val="darkGray"/>
          <w:u w:val="none"/>
        </w:rPr>
        <w:t>-021-0009</w:t>
      </w:r>
    </w:p>
    <w:p w14:paraId="3621E1C4" w14:textId="3F216F6F" w:rsidR="00973CA9" w:rsidRPr="00500514" w:rsidRDefault="005F0085" w:rsidP="00500514">
      <w:pPr>
        <w:pStyle w:val="PolicyReferences"/>
      </w:pPr>
      <w:hyperlink r:id="rId15" w:history="1">
        <w:r w:rsidR="00500514">
          <w:rPr>
            <w:rStyle w:val="Hyperlink"/>
          </w:rPr>
          <w:t>OAR 581</w:t>
        </w:r>
      </w:hyperlink>
      <w:r w:rsidR="00973CA9" w:rsidRPr="00500514">
        <w:rPr>
          <w:rStyle w:val="SYSHYPERTEXT"/>
          <w:color w:val="auto"/>
          <w:u w:val="none"/>
        </w:rPr>
        <w:t>-021</w:t>
      </w:r>
      <w:r w:rsidR="00973CA9" w:rsidRPr="00500514">
        <w:t>-0030</w:t>
      </w:r>
    </w:p>
    <w:p w14:paraId="4CDEEE06" w14:textId="3B4CF2EB" w:rsidR="00973CA9" w:rsidRPr="00500514" w:rsidDel="00500514" w:rsidRDefault="00500514" w:rsidP="00500514">
      <w:pPr>
        <w:pStyle w:val="PolicyReferences"/>
        <w:rPr>
          <w:del w:id="25" w:author="Leslie Fisher" w:date="2021-07-14T10:18:00Z"/>
        </w:rPr>
      </w:pPr>
      <w:del w:id="26" w:author="Leslie Fisher" w:date="2021-07-14T10:18:00Z">
        <w:r w:rsidDel="00500514">
          <w:rPr>
            <w:rStyle w:val="SYSHYPERTEXT"/>
            <w:color w:val="auto"/>
            <w:u w:val="none"/>
          </w:rPr>
          <w:fldChar w:fldCharType="begin"/>
        </w:r>
        <w:r w:rsidDel="00500514">
          <w:rPr>
            <w:rStyle w:val="SYSHYPERTEXT"/>
            <w:color w:val="auto"/>
            <w:u w:val="none"/>
          </w:rPr>
          <w:delInstrText xml:space="preserve"> HYPERLINK "http://policy.osba.org/orsredir.asp?ors=oar-581-022" </w:delInstrText>
        </w:r>
        <w:r w:rsidDel="00500514">
          <w:rPr>
            <w:rStyle w:val="SYSHYPERTEXT"/>
            <w:color w:val="auto"/>
            <w:u w:val="none"/>
          </w:rPr>
          <w:fldChar w:fldCharType="separate"/>
        </w:r>
        <w:r w:rsidDel="00500514">
          <w:rPr>
            <w:rStyle w:val="Hyperlink"/>
          </w:rPr>
          <w:delText>OAR 581-022</w:delText>
        </w:r>
        <w:r w:rsidDel="00500514">
          <w:rPr>
            <w:rStyle w:val="SYSHYPERTEXT"/>
            <w:color w:val="auto"/>
            <w:u w:val="none"/>
          </w:rPr>
          <w:fldChar w:fldCharType="end"/>
        </w:r>
        <w:r w:rsidR="00973CA9" w:rsidRPr="00500514" w:rsidDel="00500514">
          <w:delText>-1910</w:delText>
        </w:r>
      </w:del>
    </w:p>
    <w:p w14:paraId="1F5E4382" w14:textId="3E44BB0A" w:rsidR="00973CA9" w:rsidRPr="00500514" w:rsidRDefault="005F0085" w:rsidP="00500514">
      <w:pPr>
        <w:pStyle w:val="PolicyReferences"/>
      </w:pPr>
      <w:hyperlink r:id="rId16" w:history="1">
        <w:r w:rsidR="00500514">
          <w:rPr>
            <w:rStyle w:val="Hyperlink"/>
          </w:rPr>
          <w:t>OAR 581</w:t>
        </w:r>
      </w:hyperlink>
      <w:r w:rsidR="00973CA9" w:rsidRPr="00500514">
        <w:rPr>
          <w:rStyle w:val="SYSHYPERTEXT"/>
          <w:color w:val="auto"/>
          <w:u w:val="none"/>
        </w:rPr>
        <w:t>-022</w:t>
      </w:r>
      <w:r w:rsidR="00973CA9" w:rsidRPr="00500514">
        <w:t>-2030</w:t>
      </w:r>
    </w:p>
    <w:p w14:paraId="7E509835" w14:textId="00E7480C" w:rsidR="00973CA9" w:rsidRPr="00500514" w:rsidRDefault="005F0085" w:rsidP="00500514">
      <w:pPr>
        <w:pStyle w:val="PolicyReferences"/>
      </w:pPr>
      <w:hyperlink r:id="rId17" w:history="1">
        <w:r w:rsidR="00500514">
          <w:rPr>
            <w:rStyle w:val="Hyperlink"/>
          </w:rPr>
          <w:t>OAR 581</w:t>
        </w:r>
      </w:hyperlink>
      <w:r w:rsidR="00973CA9" w:rsidRPr="00500514">
        <w:rPr>
          <w:rStyle w:val="SYSHYPERTEXT"/>
          <w:color w:val="auto"/>
          <w:u w:val="none"/>
        </w:rPr>
        <w:t>-022</w:t>
      </w:r>
      <w:r w:rsidR="00973CA9" w:rsidRPr="00500514">
        <w:t>-2060</w:t>
      </w:r>
    </w:p>
    <w:p w14:paraId="74EC1C1E" w14:textId="436699CC" w:rsidR="00973CA9" w:rsidRPr="00500514" w:rsidRDefault="005F0085" w:rsidP="00500514">
      <w:pPr>
        <w:pStyle w:val="PolicyReferences"/>
      </w:pPr>
      <w:hyperlink r:id="rId18" w:history="1">
        <w:r w:rsidR="00500514">
          <w:rPr>
            <w:rStyle w:val="Hyperlink"/>
          </w:rPr>
          <w:t>OAR 581</w:t>
        </w:r>
      </w:hyperlink>
      <w:r w:rsidR="00973CA9" w:rsidRPr="00500514">
        <w:rPr>
          <w:rStyle w:val="SYSHYPERTEXT"/>
          <w:color w:val="auto"/>
          <w:u w:val="none"/>
        </w:rPr>
        <w:t>-022</w:t>
      </w:r>
      <w:r w:rsidR="00973CA9" w:rsidRPr="00500514">
        <w:t>-2100</w:t>
      </w:r>
    </w:p>
    <w:p w14:paraId="20FF9646" w14:textId="6DC6CD0D" w:rsidR="00973CA9" w:rsidRPr="00500514" w:rsidRDefault="005F0085" w:rsidP="00500514">
      <w:pPr>
        <w:pStyle w:val="PolicyReferences"/>
      </w:pPr>
      <w:hyperlink r:id="rId19" w:history="1">
        <w:r w:rsidR="00500514">
          <w:rPr>
            <w:rStyle w:val="Hyperlink"/>
          </w:rPr>
          <w:t>OAR 581</w:t>
        </w:r>
      </w:hyperlink>
      <w:r w:rsidR="00973CA9" w:rsidRPr="00500514">
        <w:rPr>
          <w:rStyle w:val="SYSHYPERTEXT"/>
          <w:color w:val="auto"/>
          <w:u w:val="none"/>
        </w:rPr>
        <w:t>-022</w:t>
      </w:r>
      <w:r w:rsidR="00973CA9" w:rsidRPr="00500514">
        <w:t>-2110</w:t>
      </w:r>
    </w:p>
    <w:p w14:paraId="0834BA26" w14:textId="61E979E1" w:rsidR="00973CA9" w:rsidRPr="00500514" w:rsidRDefault="005F0085" w:rsidP="00500514">
      <w:pPr>
        <w:pStyle w:val="PolicyReferences"/>
      </w:pPr>
      <w:hyperlink r:id="rId20" w:history="1">
        <w:r w:rsidR="00500514">
          <w:rPr>
            <w:rStyle w:val="Hyperlink"/>
          </w:rPr>
          <w:t>OAR 581</w:t>
        </w:r>
      </w:hyperlink>
      <w:r w:rsidR="00973CA9" w:rsidRPr="00500514">
        <w:rPr>
          <w:rStyle w:val="SYSHYPERTEXT"/>
          <w:color w:val="auto"/>
          <w:u w:val="none"/>
        </w:rPr>
        <w:t>-022</w:t>
      </w:r>
      <w:r w:rsidR="00973CA9" w:rsidRPr="00500514">
        <w:t>-2115</w:t>
      </w:r>
    </w:p>
    <w:p w14:paraId="69D5F88D" w14:textId="08D85085" w:rsidR="00973CA9" w:rsidRPr="00500514" w:rsidRDefault="005F0085" w:rsidP="00500514">
      <w:pPr>
        <w:pStyle w:val="PolicyReferences"/>
      </w:pPr>
      <w:hyperlink r:id="rId21" w:history="1">
        <w:r w:rsidR="00500514">
          <w:rPr>
            <w:rStyle w:val="Hyperlink"/>
          </w:rPr>
          <w:t>OAR 581</w:t>
        </w:r>
      </w:hyperlink>
      <w:r w:rsidR="00973CA9" w:rsidRPr="00500514">
        <w:rPr>
          <w:rStyle w:val="SYSHYPERTEXT"/>
          <w:color w:val="auto"/>
          <w:u w:val="none"/>
        </w:rPr>
        <w:t>-022</w:t>
      </w:r>
      <w:r w:rsidR="00973CA9" w:rsidRPr="00500514">
        <w:t>-2250</w:t>
      </w:r>
    </w:p>
    <w:p w14:paraId="50AD34A1" w14:textId="26996F5D" w:rsidR="00973CA9" w:rsidRPr="00500514" w:rsidRDefault="005F0085" w:rsidP="00500514">
      <w:pPr>
        <w:pStyle w:val="PolicyReferences"/>
      </w:pPr>
      <w:hyperlink r:id="rId22" w:history="1">
        <w:r w:rsidR="00500514">
          <w:rPr>
            <w:rStyle w:val="Hyperlink"/>
          </w:rPr>
          <w:t>OAR 581</w:t>
        </w:r>
      </w:hyperlink>
      <w:r w:rsidR="00973CA9" w:rsidRPr="00500514">
        <w:rPr>
          <w:rStyle w:val="SYSHYPERTEXT"/>
          <w:color w:val="auto"/>
          <w:u w:val="none"/>
        </w:rPr>
        <w:t>-022</w:t>
      </w:r>
      <w:r w:rsidR="00973CA9" w:rsidRPr="00500514">
        <w:t>-2270</w:t>
      </w:r>
    </w:p>
    <w:p w14:paraId="00C635D9" w14:textId="77777777" w:rsidR="00973CA9" w:rsidRPr="005C3FE6" w:rsidRDefault="005F0085" w:rsidP="00500514">
      <w:pPr>
        <w:pStyle w:val="PolicyReferences"/>
        <w:rPr>
          <w:highlight w:val="darkGray"/>
        </w:rPr>
      </w:pPr>
      <w:hyperlink r:id="rId23" w:history="1">
        <w:r w:rsidR="00500514">
          <w:rPr>
            <w:rStyle w:val="Hyperlink"/>
          </w:rPr>
          <w:t>OAR 581</w:t>
        </w:r>
      </w:hyperlink>
      <w:r w:rsidR="00973CA9" w:rsidRPr="00500514">
        <w:rPr>
          <w:rStyle w:val="SYSHYPERTEXT"/>
          <w:color w:val="auto"/>
          <w:u w:val="none"/>
        </w:rPr>
        <w:t>-022</w:t>
      </w:r>
      <w:r w:rsidR="00973CA9" w:rsidRPr="00500514">
        <w:t>-2310</w:t>
      </w:r>
    </w:p>
    <w:p w14:paraId="188DC308" w14:textId="77777777" w:rsidR="00792CAE" w:rsidRPr="005C3FE6" w:rsidRDefault="00792CAE" w:rsidP="00500514">
      <w:pPr>
        <w:pStyle w:val="PolicyReferences"/>
        <w:rPr>
          <w:highlight w:val="darkGray"/>
        </w:rPr>
      </w:pPr>
      <w:r w:rsidRPr="005C3FE6">
        <w:rPr>
          <w:highlight w:val="darkGray"/>
        </w:rPr>
        <w:t>House Bill 3041 (2021)</w:t>
      </w:r>
    </w:p>
    <w:p w14:paraId="1FC8E48C" w14:textId="2FA3D3B7" w:rsidR="00792CAE" w:rsidRPr="00500514" w:rsidRDefault="00792CAE" w:rsidP="00500514">
      <w:pPr>
        <w:pStyle w:val="PolicyReferences"/>
        <w:sectPr w:rsidR="00792CAE" w:rsidRPr="00500514" w:rsidSect="00973CA9">
          <w:footerReference w:type="default" r:id="rId24"/>
          <w:type w:val="continuous"/>
          <w:pgSz w:w="12240" w:h="15838"/>
          <w:pgMar w:top="936" w:right="720" w:bottom="720" w:left="1224" w:header="432" w:footer="720" w:gutter="0"/>
          <w:cols w:num="3" w:space="360" w:equalWidth="0">
            <w:col w:w="3192" w:space="360"/>
            <w:col w:w="3192" w:space="360"/>
            <w:col w:w="3192"/>
          </w:cols>
          <w:noEndnote/>
          <w:docGrid w:linePitch="326"/>
        </w:sectPr>
      </w:pPr>
      <w:r w:rsidRPr="005C3FE6">
        <w:rPr>
          <w:highlight w:val="darkGray"/>
        </w:rPr>
        <w:t>Senate Bill 602 (2021)</w:t>
      </w:r>
    </w:p>
    <w:p w14:paraId="78F4A373" w14:textId="77777777" w:rsidR="00973CA9" w:rsidRDefault="00973CA9" w:rsidP="00973CA9">
      <w:pPr>
        <w:pStyle w:val="PolicyReferences"/>
      </w:pPr>
    </w:p>
    <w:p w14:paraId="5C2F75C0" w14:textId="3D8AEB6E" w:rsidR="00973CA9" w:rsidRDefault="00973CA9" w:rsidP="00973CA9">
      <w:pPr>
        <w:pStyle w:val="PolicyReferences"/>
      </w:pPr>
      <w:r>
        <w:t>Family Educational Rights and Privacy Act of 1974, 20 U.S.C. § 1232g (</w:t>
      </w:r>
      <w:del w:id="27" w:author="Leslie Fisher" w:date="2021-07-14T10:07:00Z">
        <w:r w:rsidR="00E23D09" w:rsidDel="000A6D60">
          <w:delText>2012</w:delText>
        </w:r>
      </w:del>
      <w:r w:rsidR="000A6D60" w:rsidRPr="005C3FE6">
        <w:rPr>
          <w:highlight w:val="darkGray"/>
        </w:rPr>
        <w:t>2018</w:t>
      </w:r>
      <w:r>
        <w:t>); Family Educational Rights and Privacy, 34 C.F.R. Part 99 (</w:t>
      </w:r>
      <w:del w:id="28" w:author="Leslie Fisher" w:date="2021-07-15T13:10:00Z">
        <w:r w:rsidDel="003863CF">
          <w:delText>2017</w:delText>
        </w:r>
      </w:del>
      <w:r w:rsidR="003863CF" w:rsidRPr="005C3FE6">
        <w:rPr>
          <w:highlight w:val="darkGray"/>
        </w:rPr>
        <w:t>2021</w:t>
      </w:r>
      <w:r>
        <w:t>).</w:t>
      </w:r>
    </w:p>
    <w:p w14:paraId="23C53413" w14:textId="074FC6A5" w:rsidR="00973CA9" w:rsidRDefault="00973CA9" w:rsidP="00973CA9">
      <w:pPr>
        <w:pStyle w:val="PolicyReferences"/>
      </w:pPr>
      <w:r>
        <w:lastRenderedPageBreak/>
        <w:t>Protection of Pupil Rights, 20 U.S.C. § 1232h (</w:t>
      </w:r>
      <w:del w:id="29" w:author="Leslie Fisher" w:date="2021-07-14T10:07:00Z">
        <w:r w:rsidR="00E23D09" w:rsidDel="000A6D60">
          <w:delText>2012</w:delText>
        </w:r>
      </w:del>
      <w:r w:rsidR="000A6D60" w:rsidRPr="005C3FE6">
        <w:rPr>
          <w:highlight w:val="darkGray"/>
        </w:rPr>
        <w:t>2018</w:t>
      </w:r>
      <w:r>
        <w:t>); Student Rights in Research, Experimental Programs and Testing, 34 C.F.R. Part 98 (</w:t>
      </w:r>
      <w:del w:id="30" w:author="Leslie Fisher" w:date="2021-07-15T13:10:00Z">
        <w:r w:rsidDel="003863CF">
          <w:delText>2017</w:delText>
        </w:r>
      </w:del>
      <w:r w:rsidR="003863CF" w:rsidRPr="005C3FE6">
        <w:rPr>
          <w:highlight w:val="darkGray"/>
        </w:rPr>
        <w:t>2021</w:t>
      </w:r>
      <w:r>
        <w:t>).</w:t>
      </w:r>
    </w:p>
    <w:p w14:paraId="5F6B70E7" w14:textId="03EB3D3B" w:rsidR="00973CA9" w:rsidRDefault="00973CA9" w:rsidP="00973CA9">
      <w:pPr>
        <w:pStyle w:val="PolicyReferences"/>
      </w:pPr>
      <w:r>
        <w:t>Individuals with Disabilities Education Act (IDEA), 20 U.S.C. §§ 1400-1419 (</w:t>
      </w:r>
      <w:del w:id="31" w:author="Leslie Fisher" w:date="2021-07-14T10:11:00Z">
        <w:r w:rsidR="00E23D09" w:rsidDel="000A6D60">
          <w:delText>2012</w:delText>
        </w:r>
      </w:del>
      <w:r w:rsidR="000A6D60" w:rsidRPr="005C3FE6">
        <w:rPr>
          <w:highlight w:val="darkGray"/>
        </w:rPr>
        <w:t>2018</w:t>
      </w:r>
      <w:r>
        <w:t>).</w:t>
      </w:r>
    </w:p>
    <w:p w14:paraId="37D72A01" w14:textId="554FD162" w:rsidR="00973CA9" w:rsidRDefault="00973CA9" w:rsidP="00973CA9">
      <w:pPr>
        <w:pStyle w:val="PolicyReferences"/>
      </w:pPr>
      <w:r>
        <w:t>Every Student Succeeds Act, 20 U.S.C. §§ 6311-6322 (</w:t>
      </w:r>
      <w:del w:id="32" w:author="Leslie Fisher" w:date="2021-07-14T10:11:00Z">
        <w:r w:rsidR="00E23D09" w:rsidDel="000A6D60">
          <w:delText>2012</w:delText>
        </w:r>
      </w:del>
      <w:r w:rsidR="000A6D60" w:rsidRPr="005C3FE6">
        <w:rPr>
          <w:highlight w:val="darkGray"/>
        </w:rPr>
        <w:t>2018</w:t>
      </w:r>
      <w:r>
        <w:t>).</w:t>
      </w:r>
      <w:bookmarkStart w:id="33" w:name="LawsEnd"/>
      <w:bookmarkEnd w:id="33"/>
    </w:p>
    <w:sectPr w:rsidR="00973CA9" w:rsidSect="00973CA9">
      <w:footerReference w:type="default" r:id="rId25"/>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612CC" w14:textId="77777777" w:rsidR="00973CA9" w:rsidRDefault="00973CA9" w:rsidP="00FC3907">
      <w:r>
        <w:separator/>
      </w:r>
    </w:p>
  </w:endnote>
  <w:endnote w:type="continuationSeparator" w:id="0">
    <w:p w14:paraId="12B19204" w14:textId="77777777" w:rsidR="00973CA9" w:rsidRDefault="00973CA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973CA9" w14:paraId="1C19937A" w14:textId="77777777" w:rsidTr="004616AD">
      <w:tc>
        <w:tcPr>
          <w:tcW w:w="2340" w:type="dxa"/>
        </w:tcPr>
        <w:p w14:paraId="44CBE22A" w14:textId="766050A7" w:rsidR="00973CA9" w:rsidRDefault="00973CA9" w:rsidP="004616AD">
          <w:pPr>
            <w:pStyle w:val="Footer"/>
            <w:rPr>
              <w:noProof/>
              <w:sz w:val="20"/>
            </w:rPr>
          </w:pPr>
          <w:r>
            <w:rPr>
              <w:noProof/>
              <w:sz w:val="20"/>
            </w:rPr>
            <w:t>HR</w:t>
          </w:r>
          <w:del w:id="17" w:author="Rick Stucky" w:date="2021-07-08T11:53:00Z">
            <w:r w:rsidDel="00FE62D6">
              <w:rPr>
                <w:noProof/>
                <w:sz w:val="20"/>
              </w:rPr>
              <w:delText>7/01/17</w:delText>
            </w:r>
          </w:del>
          <w:r w:rsidR="007B64C3" w:rsidRPr="007B64C3">
            <w:rPr>
              <w:noProof/>
              <w:sz w:val="20"/>
              <w:highlight w:val="darkGray"/>
            </w:rPr>
            <w:t>10/05/21</w:t>
          </w:r>
          <w:r>
            <w:rPr>
              <w:noProof/>
              <w:sz w:val="20"/>
            </w:rPr>
            <w:t>│</w:t>
          </w:r>
          <w:del w:id="18" w:author="Rick Stucky" w:date="2021-07-08T11:53:00Z">
            <w:r w:rsidDel="00FE62D6">
              <w:rPr>
                <w:noProof/>
                <w:sz w:val="20"/>
              </w:rPr>
              <w:delText>PH</w:delText>
            </w:r>
          </w:del>
          <w:r w:rsidR="00FE62D6" w:rsidRPr="005C3FE6">
            <w:rPr>
              <w:noProof/>
              <w:sz w:val="20"/>
              <w:highlight w:val="darkGray"/>
            </w:rPr>
            <w:t>RS</w:t>
          </w:r>
        </w:p>
      </w:tc>
      <w:tc>
        <w:tcPr>
          <w:tcW w:w="7956" w:type="dxa"/>
        </w:tcPr>
        <w:p w14:paraId="5CB0428B" w14:textId="77777777" w:rsidR="00973CA9" w:rsidRDefault="00973CA9" w:rsidP="004616AD">
          <w:pPr>
            <w:pStyle w:val="Footer"/>
            <w:jc w:val="right"/>
          </w:pPr>
          <w:r>
            <w:t>Assessment Program** – IL</w:t>
          </w:r>
        </w:p>
        <w:p w14:paraId="70F5ADCD" w14:textId="77777777" w:rsidR="00973CA9" w:rsidRDefault="00973CA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C3B687E" w14:textId="77777777" w:rsidR="00973CA9" w:rsidRPr="00782930" w:rsidRDefault="00973CA9" w:rsidP="003B78F2">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973CA9" w14:paraId="22CB666B" w14:textId="77777777" w:rsidTr="004616AD">
      <w:tc>
        <w:tcPr>
          <w:tcW w:w="2340" w:type="dxa"/>
        </w:tcPr>
        <w:p w14:paraId="1C0A79E9" w14:textId="77777777" w:rsidR="00973CA9" w:rsidRDefault="00973CA9" w:rsidP="004616AD">
          <w:pPr>
            <w:pStyle w:val="Footer"/>
            <w:rPr>
              <w:noProof/>
              <w:sz w:val="20"/>
            </w:rPr>
          </w:pPr>
          <w:r>
            <w:rPr>
              <w:noProof/>
              <w:sz w:val="20"/>
            </w:rPr>
            <w:t>HR7/01/17│PH</w:t>
          </w:r>
        </w:p>
      </w:tc>
      <w:tc>
        <w:tcPr>
          <w:tcW w:w="7956" w:type="dxa"/>
        </w:tcPr>
        <w:p w14:paraId="58F3924B" w14:textId="77777777" w:rsidR="00973CA9" w:rsidRDefault="00973CA9" w:rsidP="004616AD">
          <w:pPr>
            <w:pStyle w:val="Footer"/>
            <w:jc w:val="right"/>
          </w:pPr>
          <w:r>
            <w:t>Assessment Program** – IL</w:t>
          </w:r>
        </w:p>
        <w:p w14:paraId="13403F5C" w14:textId="77777777" w:rsidR="00973CA9" w:rsidRDefault="00973CA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024E0F9" w14:textId="77777777" w:rsidR="00973CA9" w:rsidRPr="00782930" w:rsidRDefault="00973CA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973CA9" w14:paraId="3E259325" w14:textId="77777777" w:rsidTr="004616AD">
      <w:tc>
        <w:tcPr>
          <w:tcW w:w="2340" w:type="dxa"/>
        </w:tcPr>
        <w:p w14:paraId="58930CBB" w14:textId="77777777" w:rsidR="00973CA9" w:rsidRDefault="00973CA9" w:rsidP="004616AD">
          <w:pPr>
            <w:pStyle w:val="Footer"/>
            <w:rPr>
              <w:noProof/>
              <w:sz w:val="20"/>
            </w:rPr>
          </w:pPr>
          <w:r>
            <w:rPr>
              <w:noProof/>
              <w:sz w:val="20"/>
            </w:rPr>
            <w:t>HR7/01/17│PH</w:t>
          </w:r>
        </w:p>
      </w:tc>
      <w:tc>
        <w:tcPr>
          <w:tcW w:w="7956" w:type="dxa"/>
        </w:tcPr>
        <w:p w14:paraId="1C5C5494" w14:textId="77777777" w:rsidR="00973CA9" w:rsidRDefault="00973CA9" w:rsidP="004616AD">
          <w:pPr>
            <w:pStyle w:val="Footer"/>
            <w:jc w:val="right"/>
          </w:pPr>
          <w:r>
            <w:t>Assessment Program** – IL</w:t>
          </w:r>
        </w:p>
        <w:p w14:paraId="1D2561CC" w14:textId="77777777" w:rsidR="00973CA9" w:rsidRDefault="00973CA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28AC995" w14:textId="77777777" w:rsidR="00973CA9" w:rsidRPr="00782930" w:rsidRDefault="00973CA9"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34B45" w14:textId="77777777" w:rsidR="00973CA9" w:rsidRDefault="00973CA9" w:rsidP="00FC3907">
      <w:r>
        <w:separator/>
      </w:r>
    </w:p>
  </w:footnote>
  <w:footnote w:type="continuationSeparator" w:id="0">
    <w:p w14:paraId="4447F879" w14:textId="77777777" w:rsidR="00973CA9" w:rsidRDefault="00973CA9" w:rsidP="00FC3907">
      <w:r>
        <w:continuationSeparator/>
      </w:r>
    </w:p>
  </w:footnote>
  <w:footnote w:id="1">
    <w:p w14:paraId="287BACB8" w14:textId="77777777" w:rsidR="00CC2124" w:rsidRPr="005C3FE6" w:rsidRDefault="00CC2124" w:rsidP="00CC2124">
      <w:pPr>
        <w:pStyle w:val="FootnoteText"/>
        <w:rPr>
          <w:highlight w:val="darkGray"/>
        </w:rPr>
      </w:pPr>
      <w:r w:rsidRPr="005C3FE6">
        <w:rPr>
          <w:rStyle w:val="FootnoteReference"/>
          <w:highlight w:val="darkGray"/>
        </w:rPr>
        <w:footnoteRef/>
      </w:r>
      <w:r w:rsidRPr="005C3FE6">
        <w:rPr>
          <w:highlight w:val="darkGray"/>
        </w:rPr>
        <w:t xml:space="preserve"> </w:t>
      </w:r>
      <w:bookmarkStart w:id="7" w:name="_Hlk78364685"/>
      <w:r w:rsidRPr="005C3FE6">
        <w:rPr>
          <w:highlight w:val="darkGray"/>
        </w:rPr>
        <w:t xml:space="preserve">Oregon Department of Education page for: </w:t>
      </w:r>
      <w:hyperlink r:id="rId1" w:history="1">
        <w:r w:rsidRPr="005C3FE6">
          <w:rPr>
            <w:rStyle w:val="Hyperlink"/>
            <w:highlight w:val="darkGray"/>
          </w:rPr>
          <w:t>30-day notice and opt-out form</w:t>
        </w:r>
      </w:hyperlink>
      <w:bookmarkEnd w:id="7"/>
    </w:p>
  </w:footnote>
  <w:footnote w:id="2">
    <w:p w14:paraId="2B9DE41D" w14:textId="1294CC54" w:rsidR="00CC2124" w:rsidRPr="005C3FE6" w:rsidRDefault="00CC2124" w:rsidP="00CC2124">
      <w:pPr>
        <w:pStyle w:val="FootnoteText"/>
        <w:rPr>
          <w:highlight w:val="darkGray"/>
        </w:rPr>
      </w:pPr>
      <w:r w:rsidRPr="005C3FE6">
        <w:rPr>
          <w:rStyle w:val="FootnoteReference"/>
          <w:highlight w:val="darkGray"/>
        </w:rPr>
        <w:footnoteRef/>
      </w:r>
      <w:r w:rsidRPr="005C3FE6">
        <w:rPr>
          <w:highlight w:val="darkGray"/>
        </w:rPr>
        <w:t xml:space="preserve"> </w:t>
      </w:r>
      <w:r w:rsidR="002C2369" w:rsidRPr="005C3FE6">
        <w:rPr>
          <w:highlight w:val="darkGray"/>
        </w:rPr>
        <w:t xml:space="preserve">Districts </w:t>
      </w:r>
      <w:r w:rsidRPr="005C3FE6">
        <w:rPr>
          <w:highlight w:val="darkGray"/>
        </w:rPr>
        <w:t>are required to provide notice twice each year: once at the beginning of the year and second time at least 30 days prior to the administration of the test.</w:t>
      </w:r>
    </w:p>
  </w:footnote>
  <w:footnote w:id="3">
    <w:p w14:paraId="5B1831B5" w14:textId="72207D8E" w:rsidR="00973CA9" w:rsidDel="00CC2124" w:rsidRDefault="00973CA9">
      <w:pPr>
        <w:pStyle w:val="FootnoteText"/>
        <w:rPr>
          <w:del w:id="12" w:author="Rick Stucky" w:date="2021-09-23T10:23:00Z"/>
        </w:rPr>
      </w:pPr>
      <w:del w:id="13" w:author="Rick Stucky" w:date="2021-09-23T10:23:00Z">
        <w:r w:rsidDel="00CC2124">
          <w:rPr>
            <w:rStyle w:val="FootnoteReference"/>
          </w:rPr>
          <w:footnoteRef/>
        </w:r>
        <w:r w:rsidDel="00CC2124">
          <w:delText xml:space="preserve"> Districts are required to provide notice twice each year: once at the beginning of the year; and second time at least 30 days prior to the administration of the test.</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50470D2A"/>
    <w:multiLevelType w:val="hybridMultilevel"/>
    <w:tmpl w:val="1CC65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10"/>
  </w:num>
  <w:num w:numId="14">
    <w:abstractNumId w:val="8"/>
  </w:num>
  <w:num w:numId="15">
    <w:abstractNumId w:val="5"/>
  </w:num>
  <w:num w:numId="1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k Stucky">
    <w15:presenceInfo w15:providerId="AD" w15:userId="S::rsstucky@osba.org::ef8e813f-e3e1-43ec-844f-c8215350c889"/>
  </w15:person>
  <w15:person w15:author="Leslie Fisher">
    <w15:presenceInfo w15:providerId="AD" w15:userId="S::ldfishe@osba.org::cce7fa09-8388-463e-b5bc-bc38f5c847f8"/>
  </w15:person>
  <w15:person w15:author="Colleen Allen">
    <w15:presenceInfo w15:providerId="AD" w15:userId="S::caallen@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revisionView w:comments="0" w:formatting="0"/>
  <w:doNotTrackFormatting/>
  <w:defaultTabStop w:val="720"/>
  <w:clickAndTypeStyle w:val="PolicyTitleBox"/>
  <w:characterSpacingControl w:val="doNotCompress"/>
  <w:hdrShapeDefaults>
    <o:shapedefaults v:ext="edit" spidmax="4096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409C"/>
    <w:rsid w:val="000577C7"/>
    <w:rsid w:val="000617BB"/>
    <w:rsid w:val="0007087A"/>
    <w:rsid w:val="00074380"/>
    <w:rsid w:val="00083481"/>
    <w:rsid w:val="00093AF4"/>
    <w:rsid w:val="00093EC6"/>
    <w:rsid w:val="00095F9B"/>
    <w:rsid w:val="00096B9C"/>
    <w:rsid w:val="000A132A"/>
    <w:rsid w:val="000A2FE8"/>
    <w:rsid w:val="000A6A9E"/>
    <w:rsid w:val="000A6D60"/>
    <w:rsid w:val="000B092A"/>
    <w:rsid w:val="000B75D8"/>
    <w:rsid w:val="000D522B"/>
    <w:rsid w:val="000F02B6"/>
    <w:rsid w:val="000F261A"/>
    <w:rsid w:val="000F30CA"/>
    <w:rsid w:val="000F6F24"/>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46025"/>
    <w:rsid w:val="002540BA"/>
    <w:rsid w:val="0028031C"/>
    <w:rsid w:val="00280B93"/>
    <w:rsid w:val="002821D2"/>
    <w:rsid w:val="00284A5E"/>
    <w:rsid w:val="00286D2D"/>
    <w:rsid w:val="002A7657"/>
    <w:rsid w:val="002C2369"/>
    <w:rsid w:val="002C77C7"/>
    <w:rsid w:val="002F4D33"/>
    <w:rsid w:val="002F7C67"/>
    <w:rsid w:val="00305489"/>
    <w:rsid w:val="00306B03"/>
    <w:rsid w:val="00311B2D"/>
    <w:rsid w:val="00320BC5"/>
    <w:rsid w:val="003233D7"/>
    <w:rsid w:val="003234E0"/>
    <w:rsid w:val="003249D4"/>
    <w:rsid w:val="00346329"/>
    <w:rsid w:val="00354BAF"/>
    <w:rsid w:val="00355C5E"/>
    <w:rsid w:val="00363573"/>
    <w:rsid w:val="00363AE7"/>
    <w:rsid w:val="00367B06"/>
    <w:rsid w:val="003804C0"/>
    <w:rsid w:val="00385E10"/>
    <w:rsid w:val="003863CF"/>
    <w:rsid w:val="003915B0"/>
    <w:rsid w:val="003B3329"/>
    <w:rsid w:val="003E6E0C"/>
    <w:rsid w:val="003F7B66"/>
    <w:rsid w:val="00415660"/>
    <w:rsid w:val="00415A69"/>
    <w:rsid w:val="004347FA"/>
    <w:rsid w:val="00440997"/>
    <w:rsid w:val="00443C38"/>
    <w:rsid w:val="00453EF5"/>
    <w:rsid w:val="00455739"/>
    <w:rsid w:val="00456577"/>
    <w:rsid w:val="00471291"/>
    <w:rsid w:val="00472B26"/>
    <w:rsid w:val="00484B66"/>
    <w:rsid w:val="00490A75"/>
    <w:rsid w:val="0049277F"/>
    <w:rsid w:val="00494174"/>
    <w:rsid w:val="004C1EE4"/>
    <w:rsid w:val="004C2F7D"/>
    <w:rsid w:val="004E3582"/>
    <w:rsid w:val="004F53EB"/>
    <w:rsid w:val="00500514"/>
    <w:rsid w:val="005130E3"/>
    <w:rsid w:val="0051750D"/>
    <w:rsid w:val="00524F11"/>
    <w:rsid w:val="005342BD"/>
    <w:rsid w:val="00536354"/>
    <w:rsid w:val="00543474"/>
    <w:rsid w:val="00557E6B"/>
    <w:rsid w:val="00573A5C"/>
    <w:rsid w:val="005A0A48"/>
    <w:rsid w:val="005A4EEB"/>
    <w:rsid w:val="005A6BFA"/>
    <w:rsid w:val="005C1564"/>
    <w:rsid w:val="005C3FE6"/>
    <w:rsid w:val="005E06B3"/>
    <w:rsid w:val="005E1F70"/>
    <w:rsid w:val="005E3F0A"/>
    <w:rsid w:val="005E54FF"/>
    <w:rsid w:val="005F0085"/>
    <w:rsid w:val="005F3316"/>
    <w:rsid w:val="005F3FD3"/>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D63DC"/>
    <w:rsid w:val="006E544D"/>
    <w:rsid w:val="006E5941"/>
    <w:rsid w:val="006E71CD"/>
    <w:rsid w:val="006E7C1D"/>
    <w:rsid w:val="00700E92"/>
    <w:rsid w:val="0073390E"/>
    <w:rsid w:val="00734CF6"/>
    <w:rsid w:val="00737933"/>
    <w:rsid w:val="007405D2"/>
    <w:rsid w:val="007443E2"/>
    <w:rsid w:val="007519A6"/>
    <w:rsid w:val="00752B2D"/>
    <w:rsid w:val="00754B98"/>
    <w:rsid w:val="00763A99"/>
    <w:rsid w:val="00763D7F"/>
    <w:rsid w:val="00782930"/>
    <w:rsid w:val="00784DE2"/>
    <w:rsid w:val="00792CAE"/>
    <w:rsid w:val="007A0E9B"/>
    <w:rsid w:val="007A3694"/>
    <w:rsid w:val="007A7F92"/>
    <w:rsid w:val="007B228A"/>
    <w:rsid w:val="007B384B"/>
    <w:rsid w:val="007B64C3"/>
    <w:rsid w:val="007D02D3"/>
    <w:rsid w:val="007E3300"/>
    <w:rsid w:val="007E4701"/>
    <w:rsid w:val="007F0455"/>
    <w:rsid w:val="00805B5C"/>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3CA9"/>
    <w:rsid w:val="00976D56"/>
    <w:rsid w:val="00976F42"/>
    <w:rsid w:val="00977D62"/>
    <w:rsid w:val="009816CA"/>
    <w:rsid w:val="00982B4E"/>
    <w:rsid w:val="009854C4"/>
    <w:rsid w:val="009A42F6"/>
    <w:rsid w:val="009B1678"/>
    <w:rsid w:val="009C3767"/>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E122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37D9"/>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124"/>
    <w:rsid w:val="00CC2690"/>
    <w:rsid w:val="00CC7D46"/>
    <w:rsid w:val="00CE3549"/>
    <w:rsid w:val="00CE482D"/>
    <w:rsid w:val="00CF6EF5"/>
    <w:rsid w:val="00D01C38"/>
    <w:rsid w:val="00D33F63"/>
    <w:rsid w:val="00D36D75"/>
    <w:rsid w:val="00D37878"/>
    <w:rsid w:val="00D4493C"/>
    <w:rsid w:val="00D53027"/>
    <w:rsid w:val="00D55ABF"/>
    <w:rsid w:val="00D65180"/>
    <w:rsid w:val="00D7233F"/>
    <w:rsid w:val="00D7490B"/>
    <w:rsid w:val="00D82C4F"/>
    <w:rsid w:val="00D85D37"/>
    <w:rsid w:val="00D87B51"/>
    <w:rsid w:val="00DE0C18"/>
    <w:rsid w:val="00DF0AE6"/>
    <w:rsid w:val="00DF464B"/>
    <w:rsid w:val="00E009DD"/>
    <w:rsid w:val="00E07338"/>
    <w:rsid w:val="00E23D09"/>
    <w:rsid w:val="00E34F37"/>
    <w:rsid w:val="00E55BD0"/>
    <w:rsid w:val="00E56759"/>
    <w:rsid w:val="00E60543"/>
    <w:rsid w:val="00E67AB7"/>
    <w:rsid w:val="00E70BB8"/>
    <w:rsid w:val="00E71A63"/>
    <w:rsid w:val="00E727A4"/>
    <w:rsid w:val="00E81F69"/>
    <w:rsid w:val="00E908E7"/>
    <w:rsid w:val="00E9130E"/>
    <w:rsid w:val="00EA05AE"/>
    <w:rsid w:val="00EA3062"/>
    <w:rsid w:val="00EA3AF9"/>
    <w:rsid w:val="00EC519B"/>
    <w:rsid w:val="00EE49D0"/>
    <w:rsid w:val="00EF573E"/>
    <w:rsid w:val="00F166D4"/>
    <w:rsid w:val="00F16CA1"/>
    <w:rsid w:val="00F45027"/>
    <w:rsid w:val="00F45D0D"/>
    <w:rsid w:val="00F704CA"/>
    <w:rsid w:val="00F774CC"/>
    <w:rsid w:val="00F80308"/>
    <w:rsid w:val="00F80E45"/>
    <w:rsid w:val="00F91523"/>
    <w:rsid w:val="00F94BBC"/>
    <w:rsid w:val="00FA481C"/>
    <w:rsid w:val="00FB3011"/>
    <w:rsid w:val="00FB52F8"/>
    <w:rsid w:val="00FC3907"/>
    <w:rsid w:val="00FD60A2"/>
    <w:rsid w:val="00FE62D6"/>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3D875B8"/>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973CA9"/>
    <w:rPr>
      <w:color w:val="0000FF"/>
      <w:u w:val="single"/>
    </w:rPr>
  </w:style>
  <w:style w:type="paragraph" w:styleId="ListParagraph">
    <w:name w:val="List Paragraph"/>
    <w:basedOn w:val="Normal"/>
    <w:uiPriority w:val="34"/>
    <w:qFormat/>
    <w:rsid w:val="00BC37D9"/>
    <w:pPr>
      <w:ind w:left="720"/>
      <w:contextualSpacing/>
    </w:pPr>
  </w:style>
  <w:style w:type="character" w:styleId="CommentReference">
    <w:name w:val="annotation reference"/>
    <w:basedOn w:val="DefaultParagraphFont"/>
    <w:uiPriority w:val="99"/>
    <w:semiHidden/>
    <w:unhideWhenUsed/>
    <w:rsid w:val="00D53027"/>
    <w:rPr>
      <w:sz w:val="16"/>
      <w:szCs w:val="16"/>
    </w:rPr>
  </w:style>
  <w:style w:type="paragraph" w:styleId="CommentText">
    <w:name w:val="annotation text"/>
    <w:basedOn w:val="Normal"/>
    <w:link w:val="CommentTextChar"/>
    <w:uiPriority w:val="99"/>
    <w:semiHidden/>
    <w:unhideWhenUsed/>
    <w:rsid w:val="00D53027"/>
    <w:rPr>
      <w:sz w:val="20"/>
      <w:szCs w:val="20"/>
    </w:rPr>
  </w:style>
  <w:style w:type="character" w:customStyle="1" w:styleId="CommentTextChar">
    <w:name w:val="Comment Text Char"/>
    <w:basedOn w:val="DefaultParagraphFont"/>
    <w:link w:val="CommentText"/>
    <w:uiPriority w:val="99"/>
    <w:semiHidden/>
    <w:rsid w:val="00D5302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53027"/>
    <w:rPr>
      <w:b/>
      <w:bCs/>
    </w:rPr>
  </w:style>
  <w:style w:type="character" w:customStyle="1" w:styleId="CommentSubjectChar">
    <w:name w:val="Comment Subject Char"/>
    <w:basedOn w:val="CommentTextChar"/>
    <w:link w:val="CommentSubject"/>
    <w:uiPriority w:val="99"/>
    <w:semiHidden/>
    <w:rsid w:val="00D53027"/>
    <w:rPr>
      <w:rFonts w:ascii="Times New Roman" w:hAnsi="Times New Roman" w:cs="Times New Roman"/>
      <w:b/>
      <w:bCs/>
      <w:sz w:val="20"/>
      <w:szCs w:val="20"/>
    </w:rPr>
  </w:style>
  <w:style w:type="character" w:styleId="Hyperlink">
    <w:name w:val="Hyperlink"/>
    <w:basedOn w:val="DefaultParagraphFont"/>
    <w:uiPriority w:val="99"/>
    <w:unhideWhenUsed/>
    <w:rsid w:val="00500514"/>
    <w:rPr>
      <w:color w:val="0563C1" w:themeColor="hyperlink"/>
      <w:u w:val="single"/>
    </w:rPr>
  </w:style>
  <w:style w:type="character" w:styleId="UnresolvedMention">
    <w:name w:val="Unresolved Mention"/>
    <w:basedOn w:val="DefaultParagraphFont"/>
    <w:uiPriority w:val="99"/>
    <w:semiHidden/>
    <w:unhideWhenUsed/>
    <w:rsid w:val="00500514"/>
    <w:rPr>
      <w:color w:val="605E5C"/>
      <w:shd w:val="clear" w:color="auto" w:fill="E1DFDD"/>
    </w:rPr>
  </w:style>
  <w:style w:type="character" w:styleId="FollowedHyperlink">
    <w:name w:val="FollowedHyperlink"/>
    <w:basedOn w:val="DefaultParagraphFont"/>
    <w:uiPriority w:val="99"/>
    <w:semiHidden/>
    <w:unhideWhenUsed/>
    <w:rsid w:val="006E7C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licy.osba.org/orsredir.asp?ors=ors-336" TargetMode="External"/><Relationship Id="rId18" Type="http://schemas.openxmlformats.org/officeDocument/2006/relationships/hyperlink" Target="http://policy.osba.org/orsredir.asp?ors=oar-58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yperlink" Target="http://policy.osba.org/orsredir.asp?ors=ors-329" TargetMode="External"/><Relationship Id="rId17" Type="http://schemas.openxmlformats.org/officeDocument/2006/relationships/hyperlink" Target="http://policy.osba.org/orsredir.asp?ors=oar-581"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policy.osba.org/orsredir.asp?ors=oar-581" TargetMode="External"/><Relationship Id="rId20"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licy.osba.org/orsredir.asp?ors=ors-329"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ar-581" TargetMode="External"/><Relationship Id="rId23" Type="http://schemas.openxmlformats.org/officeDocument/2006/relationships/hyperlink" Target="http://policy.osba.org/orsredir.asp?ors=oar-581" TargetMode="External"/><Relationship Id="rId28" Type="http://schemas.openxmlformats.org/officeDocument/2006/relationships/theme" Target="theme/theme1.xml"/><Relationship Id="rId10" Type="http://schemas.openxmlformats.org/officeDocument/2006/relationships/hyperlink" Target="http://policy.osba.org/orsredir.asp?ors=ors-326" TargetMode="External"/><Relationship Id="rId19" Type="http://schemas.openxmlformats.org/officeDocument/2006/relationships/hyperlink" Target="http://policy.osba.org/orsredir.asp?ors=oar-581" TargetMode="External"/><Relationship Id="rId4" Type="http://schemas.openxmlformats.org/officeDocument/2006/relationships/settings" Target="settings.xml"/><Relationship Id="rId9" Type="http://schemas.openxmlformats.org/officeDocument/2006/relationships/hyperlink" Target="http://policy.osba.org/orsredir.asp?ors=ors-326" TargetMode="External"/><Relationship Id="rId14" Type="http://schemas.openxmlformats.org/officeDocument/2006/relationships/hyperlink" Target="http://policy.osba.org/orsredir.asp?ors=ors-659" TargetMode="External"/><Relationship Id="rId22" Type="http://schemas.openxmlformats.org/officeDocument/2006/relationships/hyperlink" Target="http://policy.osba.org/orsredir.asp?ors=oar-581"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oregon.gov/ode/educator-resources/assessment/Pages/Assessment-Administratio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8E3DA-1C54-4531-8C2F-1E15132D1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IL - Assessment Program**</vt:lpstr>
    </vt:vector>
  </TitlesOfParts>
  <Company>OSBA</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 Assessment Program**</dc:title>
  <dc:subject>OSBA Board Policy</dc:subject>
  <dc:creator>Oregon School Boards Association</dc:creator>
  <cp:keywords/>
  <dc:description/>
  <cp:lastModifiedBy>Leslie Fisher</cp:lastModifiedBy>
  <cp:revision>31</cp:revision>
  <dcterms:created xsi:type="dcterms:W3CDTF">2018-03-09T20:28:00Z</dcterms:created>
  <dcterms:modified xsi:type="dcterms:W3CDTF">2021-10-08T15:09:00Z</dcterms:modified>
</cp:coreProperties>
</file>